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spacing w:before="0"/>
      </w:pPr>
      <w:bookmarkStart w:id="0" w:name="_Toc193196119"/>
      <w:r>
        <w:t>Verordn</w:t>
      </w:r>
      <w:bookmarkStart w:id="1" w:name="_GoBack"/>
      <w:bookmarkEnd w:id="1"/>
      <w:r>
        <w:t xml:space="preserve">ung über Anwendungsverbote für Pflanzenschutzmittel - </w:t>
      </w:r>
      <w:r>
        <w:br/>
        <w:t>Pflanzenschutz-Anwendungsverordnung - PflSchAnwV</w:t>
      </w:r>
      <w:bookmarkEnd w:id="0"/>
    </w:p>
    <w:p>
      <w:pPr>
        <w:pStyle w:val="GesAbsatz"/>
        <w:jc w:val="center"/>
      </w:pPr>
      <w:r>
        <w:t>vom 10. November 1992</w:t>
      </w:r>
    </w:p>
    <w:p>
      <w:pPr>
        <w:pStyle w:val="GesAbsatz"/>
      </w:pPr>
    </w:p>
    <w:p>
      <w:pPr>
        <w:pStyle w:val="GesAbsatz"/>
        <w:tabs>
          <w:tab w:val="clear" w:pos="425"/>
          <w:tab w:val="left" w:pos="2268"/>
        </w:tabs>
      </w:pPr>
      <w:hyperlink w:anchor="Gesetzeshistorie" w:history="1">
        <w:r>
          <w:rPr>
            <w:rStyle w:val="Hyperlink"/>
          </w:rPr>
          <w:t>Gesetzeshistorie</w:t>
        </w:r>
      </w:hyperlink>
      <w:r>
        <w:tab/>
      </w:r>
      <w:hyperlink r:id="rId8" w:history="1">
        <w:r>
          <w:rPr>
            <w:rStyle w:val="Hyperlink"/>
          </w:rPr>
          <w:t>Link zu DIP</w:t>
        </w:r>
      </w:hyperlink>
    </w:p>
    <w:p>
      <w:pPr>
        <w:jc w:val="center"/>
        <w:rPr>
          <w:b/>
          <w:sz w:val="22"/>
        </w:rPr>
      </w:pPr>
      <w:r>
        <w:rPr>
          <w:b/>
          <w:sz w:val="22"/>
        </w:rPr>
        <w:t>Inhalt:</w:t>
      </w:r>
    </w:p>
    <w:p>
      <w:pPr>
        <w:pStyle w:val="Verzeichnis1"/>
        <w:tabs>
          <w:tab w:val="right" w:leader="dot" w:pos="9628"/>
        </w:tabs>
        <w:rPr>
          <w:rFonts w:asciiTheme="minorHAnsi" w:eastAsiaTheme="minorEastAsia" w:hAnsiTheme="minorHAnsi" w:cstheme="minorBidi"/>
          <w:b w:val="0"/>
          <w:bCs w:val="0"/>
          <w:caps w:val="0"/>
          <w:noProof/>
          <w:sz w:val="22"/>
          <w:szCs w:val="22"/>
        </w:rPr>
      </w:pPr>
      <w:r>
        <w:rPr>
          <w:caps w:val="0"/>
        </w:rPr>
        <w:fldChar w:fldCharType="begin"/>
      </w:r>
      <w:r>
        <w:rPr>
          <w:caps w:val="0"/>
        </w:rPr>
        <w:instrText xml:space="preserve"> TOC \o "1-3" \h \z \u </w:instrText>
      </w:r>
      <w:r>
        <w:rPr>
          <w:caps w:val="0"/>
        </w:rPr>
        <w:fldChar w:fldCharType="separate"/>
      </w:r>
      <w:hyperlink w:anchor="_Toc193196119" w:history="1">
        <w:r>
          <w:rPr>
            <w:rStyle w:val="Hyperlink"/>
            <w:noProof/>
          </w:rPr>
          <w:t>Pflanzenschutz-Anwendungsverordnung - PflSchAnwV</w:t>
        </w:r>
        <w:r>
          <w:rPr>
            <w:noProof/>
            <w:webHidden/>
          </w:rPr>
          <w:tab/>
        </w:r>
        <w:r>
          <w:rPr>
            <w:noProof/>
            <w:webHidden/>
          </w:rPr>
          <w:fldChar w:fldCharType="begin"/>
        </w:r>
        <w:r>
          <w:rPr>
            <w:noProof/>
            <w:webHidden/>
          </w:rPr>
          <w:instrText xml:space="preserve"> PAGEREF _Toc193196119 \h </w:instrText>
        </w:r>
        <w:r>
          <w:rPr>
            <w:noProof/>
            <w:webHidden/>
          </w:rPr>
        </w:r>
        <w:r>
          <w:rPr>
            <w:noProof/>
            <w:webHidden/>
          </w:rPr>
          <w:fldChar w:fldCharType="separate"/>
        </w:r>
        <w:r>
          <w:rPr>
            <w:noProof/>
            <w:webHidden/>
          </w:rPr>
          <w:t>1</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0" w:history="1">
        <w:r>
          <w:rPr>
            <w:rStyle w:val="Hyperlink"/>
            <w:noProof/>
          </w:rPr>
          <w:t>§ 1 Vollständiges Anwendungsverbot</w:t>
        </w:r>
        <w:r>
          <w:rPr>
            <w:noProof/>
            <w:webHidden/>
          </w:rPr>
          <w:tab/>
        </w:r>
        <w:r>
          <w:rPr>
            <w:noProof/>
            <w:webHidden/>
          </w:rPr>
          <w:fldChar w:fldCharType="begin"/>
        </w:r>
        <w:r>
          <w:rPr>
            <w:noProof/>
            <w:webHidden/>
          </w:rPr>
          <w:instrText xml:space="preserve"> PAGEREF _Toc193196120 \h </w:instrText>
        </w:r>
        <w:r>
          <w:rPr>
            <w:noProof/>
            <w:webHidden/>
          </w:rPr>
        </w:r>
        <w:r>
          <w:rPr>
            <w:noProof/>
            <w:webHidden/>
          </w:rPr>
          <w:fldChar w:fldCharType="separate"/>
        </w:r>
        <w:r>
          <w:rPr>
            <w:noProof/>
            <w:webHidden/>
          </w:rPr>
          <w:t>1</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1" w:history="1">
        <w:r>
          <w:rPr>
            <w:rStyle w:val="Hyperlink"/>
            <w:noProof/>
          </w:rPr>
          <w:t>§ 2 Eingeschränktes Anwendungsverbot</w:t>
        </w:r>
        <w:r>
          <w:rPr>
            <w:noProof/>
            <w:webHidden/>
          </w:rPr>
          <w:tab/>
        </w:r>
        <w:r>
          <w:rPr>
            <w:noProof/>
            <w:webHidden/>
          </w:rPr>
          <w:fldChar w:fldCharType="begin"/>
        </w:r>
        <w:r>
          <w:rPr>
            <w:noProof/>
            <w:webHidden/>
          </w:rPr>
          <w:instrText xml:space="preserve"> PAGEREF _Toc193196121 \h </w:instrText>
        </w:r>
        <w:r>
          <w:rPr>
            <w:noProof/>
            <w:webHidden/>
          </w:rPr>
        </w:r>
        <w:r>
          <w:rPr>
            <w:noProof/>
            <w:webHidden/>
          </w:rPr>
          <w:fldChar w:fldCharType="separate"/>
        </w:r>
        <w:r>
          <w:rPr>
            <w:noProof/>
            <w:webHidden/>
          </w:rPr>
          <w:t>1</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2" w:history="1">
        <w:r>
          <w:rPr>
            <w:rStyle w:val="Hyperlink"/>
            <w:noProof/>
          </w:rPr>
          <w:t>§ 3 Anwendungsbeschränkungen</w:t>
        </w:r>
        <w:r>
          <w:rPr>
            <w:noProof/>
            <w:webHidden/>
          </w:rPr>
          <w:tab/>
        </w:r>
        <w:r>
          <w:rPr>
            <w:noProof/>
            <w:webHidden/>
          </w:rPr>
          <w:fldChar w:fldCharType="begin"/>
        </w:r>
        <w:r>
          <w:rPr>
            <w:noProof/>
            <w:webHidden/>
          </w:rPr>
          <w:instrText xml:space="preserve"> PAGEREF _Toc193196122 \h </w:instrText>
        </w:r>
        <w:r>
          <w:rPr>
            <w:noProof/>
            <w:webHidden/>
          </w:rPr>
        </w:r>
        <w:r>
          <w:rPr>
            <w:noProof/>
            <w:webHidden/>
          </w:rPr>
          <w:fldChar w:fldCharType="separate"/>
        </w:r>
        <w:r>
          <w:rPr>
            <w:noProof/>
            <w:webHidden/>
          </w:rPr>
          <w:t>1</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3" w:history="1">
        <w:r>
          <w:rPr>
            <w:rStyle w:val="Hyperlink"/>
            <w:noProof/>
          </w:rPr>
          <w:t>§ 3a Besondere Abgabebedingungen</w:t>
        </w:r>
        <w:r>
          <w:rPr>
            <w:noProof/>
            <w:webHidden/>
          </w:rPr>
          <w:tab/>
        </w:r>
        <w:r>
          <w:rPr>
            <w:noProof/>
            <w:webHidden/>
          </w:rPr>
          <w:fldChar w:fldCharType="begin"/>
        </w:r>
        <w:r>
          <w:rPr>
            <w:noProof/>
            <w:webHidden/>
          </w:rPr>
          <w:instrText xml:space="preserve"> PAGEREF _Toc193196123 \h </w:instrText>
        </w:r>
        <w:r>
          <w:rPr>
            <w:noProof/>
            <w:webHidden/>
          </w:rPr>
        </w:r>
        <w:r>
          <w:rPr>
            <w:noProof/>
            <w:webHidden/>
          </w:rPr>
          <w:fldChar w:fldCharType="separate"/>
        </w:r>
        <w:r>
          <w:rPr>
            <w:noProof/>
            <w:webHidden/>
          </w:rPr>
          <w:t>2</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4" w:history="1">
        <w:r>
          <w:rPr>
            <w:rStyle w:val="Hyperlink"/>
            <w:noProof/>
          </w:rPr>
          <w:t>§ 3b Besondere Anwendungsbedingungen</w:t>
        </w:r>
        <w:r>
          <w:rPr>
            <w:noProof/>
            <w:webHidden/>
          </w:rPr>
          <w:tab/>
        </w:r>
        <w:r>
          <w:rPr>
            <w:noProof/>
            <w:webHidden/>
          </w:rPr>
          <w:fldChar w:fldCharType="begin"/>
        </w:r>
        <w:r>
          <w:rPr>
            <w:noProof/>
            <w:webHidden/>
          </w:rPr>
          <w:instrText xml:space="preserve"> PAGEREF _Toc193196124 \h </w:instrText>
        </w:r>
        <w:r>
          <w:rPr>
            <w:noProof/>
            <w:webHidden/>
          </w:rPr>
        </w:r>
        <w:r>
          <w:rPr>
            <w:noProof/>
            <w:webHidden/>
          </w:rPr>
          <w:fldChar w:fldCharType="separate"/>
        </w:r>
        <w:r>
          <w:rPr>
            <w:noProof/>
            <w:webHidden/>
          </w:rPr>
          <w:t>2</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5" w:history="1">
        <w:r>
          <w:rPr>
            <w:rStyle w:val="Hyperlink"/>
            <w:noProof/>
          </w:rPr>
          <w:t>§ 4 Verbot der Anwendung in Gebieten mit Bedeutung für den Naturschutz</w:t>
        </w:r>
        <w:r>
          <w:rPr>
            <w:noProof/>
            <w:webHidden/>
          </w:rPr>
          <w:tab/>
        </w:r>
        <w:r>
          <w:rPr>
            <w:noProof/>
            <w:webHidden/>
          </w:rPr>
          <w:fldChar w:fldCharType="begin"/>
        </w:r>
        <w:r>
          <w:rPr>
            <w:noProof/>
            <w:webHidden/>
          </w:rPr>
          <w:instrText xml:space="preserve"> PAGEREF _Toc193196125 \h </w:instrText>
        </w:r>
        <w:r>
          <w:rPr>
            <w:noProof/>
            <w:webHidden/>
          </w:rPr>
        </w:r>
        <w:r>
          <w:rPr>
            <w:noProof/>
            <w:webHidden/>
          </w:rPr>
          <w:fldChar w:fldCharType="separate"/>
        </w:r>
        <w:r>
          <w:rPr>
            <w:noProof/>
            <w:webHidden/>
          </w:rPr>
          <w:t>3</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6" w:history="1">
        <w:r>
          <w:rPr>
            <w:rStyle w:val="Hyperlink"/>
            <w:noProof/>
          </w:rPr>
          <w:t>§ 4a Verbot der Anwendung an Gewässern</w:t>
        </w:r>
        <w:r>
          <w:rPr>
            <w:noProof/>
            <w:webHidden/>
          </w:rPr>
          <w:tab/>
        </w:r>
        <w:r>
          <w:rPr>
            <w:noProof/>
            <w:webHidden/>
          </w:rPr>
          <w:fldChar w:fldCharType="begin"/>
        </w:r>
        <w:r>
          <w:rPr>
            <w:noProof/>
            <w:webHidden/>
          </w:rPr>
          <w:instrText xml:space="preserve"> PAGEREF _Toc193196126 \h </w:instrText>
        </w:r>
        <w:r>
          <w:rPr>
            <w:noProof/>
            <w:webHidden/>
          </w:rPr>
        </w:r>
        <w:r>
          <w:rPr>
            <w:noProof/>
            <w:webHidden/>
          </w:rPr>
          <w:fldChar w:fldCharType="separate"/>
        </w:r>
        <w:r>
          <w:rPr>
            <w:noProof/>
            <w:webHidden/>
          </w:rPr>
          <w:t>3</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7" w:history="1">
        <w:r>
          <w:rPr>
            <w:rStyle w:val="Hyperlink"/>
            <w:noProof/>
          </w:rPr>
          <w:t>§ 5 Einfuhrverbote</w:t>
        </w:r>
        <w:r>
          <w:rPr>
            <w:noProof/>
            <w:webHidden/>
          </w:rPr>
          <w:tab/>
        </w:r>
        <w:r>
          <w:rPr>
            <w:noProof/>
            <w:webHidden/>
          </w:rPr>
          <w:fldChar w:fldCharType="begin"/>
        </w:r>
        <w:r>
          <w:rPr>
            <w:noProof/>
            <w:webHidden/>
          </w:rPr>
          <w:instrText xml:space="preserve"> PAGEREF _Toc193196127 \h </w:instrText>
        </w:r>
        <w:r>
          <w:rPr>
            <w:noProof/>
            <w:webHidden/>
          </w:rPr>
        </w:r>
        <w:r>
          <w:rPr>
            <w:noProof/>
            <w:webHidden/>
          </w:rPr>
          <w:fldChar w:fldCharType="separate"/>
        </w:r>
        <w:r>
          <w:rPr>
            <w:noProof/>
            <w:webHidden/>
          </w:rPr>
          <w:t>4</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8" w:history="1">
        <w:r>
          <w:rPr>
            <w:rStyle w:val="Hyperlink"/>
            <w:noProof/>
          </w:rPr>
          <w:t>§ 6 Verunreinigungen</w:t>
        </w:r>
        <w:r>
          <w:rPr>
            <w:noProof/>
            <w:webHidden/>
          </w:rPr>
          <w:tab/>
        </w:r>
        <w:r>
          <w:rPr>
            <w:noProof/>
            <w:webHidden/>
          </w:rPr>
          <w:fldChar w:fldCharType="begin"/>
        </w:r>
        <w:r>
          <w:rPr>
            <w:noProof/>
            <w:webHidden/>
          </w:rPr>
          <w:instrText xml:space="preserve"> PAGEREF _Toc193196128 \h </w:instrText>
        </w:r>
        <w:r>
          <w:rPr>
            <w:noProof/>
            <w:webHidden/>
          </w:rPr>
        </w:r>
        <w:r>
          <w:rPr>
            <w:noProof/>
            <w:webHidden/>
          </w:rPr>
          <w:fldChar w:fldCharType="separate"/>
        </w:r>
        <w:r>
          <w:rPr>
            <w:noProof/>
            <w:webHidden/>
          </w:rPr>
          <w:t>4</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29" w:history="1">
        <w:r>
          <w:rPr>
            <w:rStyle w:val="Hyperlink"/>
            <w:noProof/>
          </w:rPr>
          <w:t>§ 7 Ausnahmen</w:t>
        </w:r>
        <w:r>
          <w:rPr>
            <w:noProof/>
            <w:webHidden/>
          </w:rPr>
          <w:tab/>
        </w:r>
        <w:r>
          <w:rPr>
            <w:noProof/>
            <w:webHidden/>
          </w:rPr>
          <w:fldChar w:fldCharType="begin"/>
        </w:r>
        <w:r>
          <w:rPr>
            <w:noProof/>
            <w:webHidden/>
          </w:rPr>
          <w:instrText xml:space="preserve"> PAGEREF _Toc193196129 \h </w:instrText>
        </w:r>
        <w:r>
          <w:rPr>
            <w:noProof/>
            <w:webHidden/>
          </w:rPr>
        </w:r>
        <w:r>
          <w:rPr>
            <w:noProof/>
            <w:webHidden/>
          </w:rPr>
          <w:fldChar w:fldCharType="separate"/>
        </w:r>
        <w:r>
          <w:rPr>
            <w:noProof/>
            <w:webHidden/>
          </w:rPr>
          <w:t>4</w:t>
        </w:r>
        <w:r>
          <w:rPr>
            <w:noProof/>
            <w:webHidden/>
          </w:rPr>
          <w:fldChar w:fldCharType="end"/>
        </w:r>
      </w:hyperlink>
    </w:p>
    <w:p>
      <w:pPr>
        <w:pStyle w:val="Verzeichnis3"/>
        <w:tabs>
          <w:tab w:val="right" w:leader="dot" w:pos="9628"/>
        </w:tabs>
        <w:rPr>
          <w:rFonts w:asciiTheme="minorHAnsi" w:eastAsiaTheme="minorEastAsia" w:hAnsiTheme="minorHAnsi" w:cstheme="minorBidi"/>
          <w:i w:val="0"/>
          <w:iCs w:val="0"/>
          <w:noProof/>
          <w:sz w:val="22"/>
          <w:szCs w:val="22"/>
        </w:rPr>
      </w:pPr>
      <w:hyperlink w:anchor="_Toc193196130" w:history="1">
        <w:r>
          <w:rPr>
            <w:rStyle w:val="Hyperlink"/>
            <w:noProof/>
          </w:rPr>
          <w:t>§ 8 Straftaten und Ordnungswidrigkeiten</w:t>
        </w:r>
        <w:r>
          <w:rPr>
            <w:noProof/>
            <w:webHidden/>
          </w:rPr>
          <w:tab/>
        </w:r>
        <w:r>
          <w:rPr>
            <w:noProof/>
            <w:webHidden/>
          </w:rPr>
          <w:fldChar w:fldCharType="begin"/>
        </w:r>
        <w:r>
          <w:rPr>
            <w:noProof/>
            <w:webHidden/>
          </w:rPr>
          <w:instrText xml:space="preserve"> PAGEREF _Toc193196130 \h </w:instrText>
        </w:r>
        <w:r>
          <w:rPr>
            <w:noProof/>
            <w:webHidden/>
          </w:rPr>
        </w:r>
        <w:r>
          <w:rPr>
            <w:noProof/>
            <w:webHidden/>
          </w:rPr>
          <w:fldChar w:fldCharType="separate"/>
        </w:r>
        <w:r>
          <w:rPr>
            <w:noProof/>
            <w:webHidden/>
          </w:rPr>
          <w:t>4</w:t>
        </w:r>
        <w:r>
          <w:rPr>
            <w:noProof/>
            <w:webHidden/>
          </w:rPr>
          <w:fldChar w:fldCharType="end"/>
        </w:r>
      </w:hyperlink>
    </w:p>
    <w:p>
      <w:pPr>
        <w:pStyle w:val="Verzeichnis2"/>
        <w:tabs>
          <w:tab w:val="right" w:leader="dot" w:pos="9628"/>
        </w:tabs>
        <w:rPr>
          <w:rFonts w:asciiTheme="minorHAnsi" w:eastAsiaTheme="minorEastAsia" w:hAnsiTheme="minorHAnsi" w:cstheme="minorBidi"/>
          <w:smallCaps w:val="0"/>
          <w:noProof/>
          <w:sz w:val="22"/>
          <w:szCs w:val="22"/>
        </w:rPr>
      </w:pPr>
      <w:hyperlink w:anchor="_Toc193196131" w:history="1">
        <w:r>
          <w:rPr>
            <w:rStyle w:val="Hyperlink"/>
            <w:noProof/>
          </w:rPr>
          <w:t>Anlage 1 (zu den §§ 1 und 5 Abs. 1)</w:t>
        </w:r>
        <w:r>
          <w:rPr>
            <w:noProof/>
            <w:webHidden/>
          </w:rPr>
          <w:tab/>
        </w:r>
        <w:r>
          <w:rPr>
            <w:noProof/>
            <w:webHidden/>
          </w:rPr>
          <w:fldChar w:fldCharType="begin"/>
        </w:r>
        <w:r>
          <w:rPr>
            <w:noProof/>
            <w:webHidden/>
          </w:rPr>
          <w:instrText xml:space="preserve"> PAGEREF _Toc193196131 \h </w:instrText>
        </w:r>
        <w:r>
          <w:rPr>
            <w:noProof/>
            <w:webHidden/>
          </w:rPr>
        </w:r>
        <w:r>
          <w:rPr>
            <w:noProof/>
            <w:webHidden/>
          </w:rPr>
          <w:fldChar w:fldCharType="separate"/>
        </w:r>
        <w:r>
          <w:rPr>
            <w:noProof/>
            <w:webHidden/>
          </w:rPr>
          <w:t>5</w:t>
        </w:r>
        <w:r>
          <w:rPr>
            <w:noProof/>
            <w:webHidden/>
          </w:rPr>
          <w:fldChar w:fldCharType="end"/>
        </w:r>
      </w:hyperlink>
    </w:p>
    <w:p>
      <w:pPr>
        <w:pStyle w:val="Verzeichnis2"/>
        <w:tabs>
          <w:tab w:val="right" w:leader="dot" w:pos="9628"/>
        </w:tabs>
        <w:rPr>
          <w:rFonts w:asciiTheme="minorHAnsi" w:eastAsiaTheme="minorEastAsia" w:hAnsiTheme="minorHAnsi" w:cstheme="minorBidi"/>
          <w:smallCaps w:val="0"/>
          <w:noProof/>
          <w:sz w:val="22"/>
          <w:szCs w:val="22"/>
        </w:rPr>
      </w:pPr>
      <w:hyperlink w:anchor="_Toc193196132" w:history="1">
        <w:r>
          <w:rPr>
            <w:rStyle w:val="Hyperlink"/>
            <w:noProof/>
          </w:rPr>
          <w:t>Anlage 2 (zu den §§ 2, 4 und 5 Abs. 2)</w:t>
        </w:r>
        <w:r>
          <w:rPr>
            <w:noProof/>
            <w:webHidden/>
          </w:rPr>
          <w:tab/>
        </w:r>
        <w:r>
          <w:rPr>
            <w:noProof/>
            <w:webHidden/>
          </w:rPr>
          <w:fldChar w:fldCharType="begin"/>
        </w:r>
        <w:r>
          <w:rPr>
            <w:noProof/>
            <w:webHidden/>
          </w:rPr>
          <w:instrText xml:space="preserve"> PAGEREF _Toc193196132 \h </w:instrText>
        </w:r>
        <w:r>
          <w:rPr>
            <w:noProof/>
            <w:webHidden/>
          </w:rPr>
        </w:r>
        <w:r>
          <w:rPr>
            <w:noProof/>
            <w:webHidden/>
          </w:rPr>
          <w:fldChar w:fldCharType="separate"/>
        </w:r>
        <w:r>
          <w:rPr>
            <w:noProof/>
            <w:webHidden/>
          </w:rPr>
          <w:t>6</w:t>
        </w:r>
        <w:r>
          <w:rPr>
            <w:noProof/>
            <w:webHidden/>
          </w:rPr>
          <w:fldChar w:fldCharType="end"/>
        </w:r>
      </w:hyperlink>
    </w:p>
    <w:p>
      <w:pPr>
        <w:pStyle w:val="Verzeichnis2"/>
        <w:tabs>
          <w:tab w:val="right" w:leader="dot" w:pos="9628"/>
        </w:tabs>
        <w:rPr>
          <w:rFonts w:asciiTheme="minorHAnsi" w:eastAsiaTheme="minorEastAsia" w:hAnsiTheme="minorHAnsi" w:cstheme="minorBidi"/>
          <w:smallCaps w:val="0"/>
          <w:noProof/>
          <w:sz w:val="22"/>
          <w:szCs w:val="22"/>
        </w:rPr>
      </w:pPr>
      <w:hyperlink w:anchor="_Toc193196133" w:history="1">
        <w:r>
          <w:rPr>
            <w:rStyle w:val="Hyperlink"/>
            <w:noProof/>
          </w:rPr>
          <w:t>Anlage 3 (zu den §§ 3 und 4)</w:t>
        </w:r>
        <w:r>
          <w:rPr>
            <w:noProof/>
            <w:webHidden/>
          </w:rPr>
          <w:tab/>
        </w:r>
        <w:r>
          <w:rPr>
            <w:noProof/>
            <w:webHidden/>
          </w:rPr>
          <w:fldChar w:fldCharType="begin"/>
        </w:r>
        <w:r>
          <w:rPr>
            <w:noProof/>
            <w:webHidden/>
          </w:rPr>
          <w:instrText xml:space="preserve"> PAGEREF _Toc193196133 \h </w:instrText>
        </w:r>
        <w:r>
          <w:rPr>
            <w:noProof/>
            <w:webHidden/>
          </w:rPr>
        </w:r>
        <w:r>
          <w:rPr>
            <w:noProof/>
            <w:webHidden/>
          </w:rPr>
          <w:fldChar w:fldCharType="separate"/>
        </w:r>
        <w:r>
          <w:rPr>
            <w:noProof/>
            <w:webHidden/>
          </w:rPr>
          <w:t>7</w:t>
        </w:r>
        <w:r>
          <w:rPr>
            <w:noProof/>
            <w:webHidden/>
          </w:rPr>
          <w:fldChar w:fldCharType="end"/>
        </w:r>
      </w:hyperlink>
    </w:p>
    <w:p>
      <w:pPr>
        <w:pStyle w:val="Verzeichnis2"/>
        <w:tabs>
          <w:tab w:val="right" w:leader="dot" w:pos="9628"/>
        </w:tabs>
        <w:rPr>
          <w:rFonts w:asciiTheme="minorHAnsi" w:eastAsiaTheme="minorEastAsia" w:hAnsiTheme="minorHAnsi" w:cstheme="minorBidi"/>
          <w:smallCaps w:val="0"/>
          <w:noProof/>
          <w:sz w:val="22"/>
          <w:szCs w:val="22"/>
        </w:rPr>
      </w:pPr>
      <w:hyperlink w:anchor="_Toc193196134" w:history="1">
        <w:r>
          <w:rPr>
            <w:rStyle w:val="Hyperlink"/>
            <w:noProof/>
          </w:rPr>
          <w:t>Anlage 4 (zu § 3a)</w:t>
        </w:r>
        <w:r>
          <w:rPr>
            <w:noProof/>
            <w:webHidden/>
          </w:rPr>
          <w:tab/>
        </w:r>
        <w:r>
          <w:rPr>
            <w:noProof/>
            <w:webHidden/>
          </w:rPr>
          <w:fldChar w:fldCharType="begin"/>
        </w:r>
        <w:r>
          <w:rPr>
            <w:noProof/>
            <w:webHidden/>
          </w:rPr>
          <w:instrText xml:space="preserve"> PAGEREF _Toc193196134 \h </w:instrText>
        </w:r>
        <w:r>
          <w:rPr>
            <w:noProof/>
            <w:webHidden/>
          </w:rPr>
        </w:r>
        <w:r>
          <w:rPr>
            <w:noProof/>
            <w:webHidden/>
          </w:rPr>
          <w:fldChar w:fldCharType="separate"/>
        </w:r>
        <w:r>
          <w:rPr>
            <w:noProof/>
            <w:webHidden/>
          </w:rPr>
          <w:t>10</w:t>
        </w:r>
        <w:r>
          <w:rPr>
            <w:noProof/>
            <w:webHidden/>
          </w:rPr>
          <w:fldChar w:fldCharType="end"/>
        </w:r>
      </w:hyperlink>
    </w:p>
    <w:p>
      <w:pPr>
        <w:tabs>
          <w:tab w:val="clear" w:pos="425"/>
          <w:tab w:val="right" w:pos="4680"/>
        </w:tabs>
        <w:ind w:left="284" w:hanging="284"/>
      </w:pPr>
      <w:r>
        <w:rPr>
          <w:rFonts w:ascii="Times New Roman" w:hAnsi="Times New Roman"/>
          <w:caps/>
        </w:rPr>
        <w:fldChar w:fldCharType="end"/>
      </w:r>
    </w:p>
    <w:p>
      <w:pPr>
        <w:pStyle w:val="berschrift3"/>
      </w:pPr>
      <w:bookmarkStart w:id="2" w:name="_Toc193196120"/>
      <w:r>
        <w:t>§ 1</w:t>
      </w:r>
      <w:r>
        <w:br/>
        <w:t>Vollständiges Anwendungsverbot</w:t>
      </w:r>
      <w:bookmarkEnd w:id="2"/>
    </w:p>
    <w:p>
      <w:pPr>
        <w:pStyle w:val="GesAbsatz"/>
      </w:pPr>
      <w:r>
        <w:t>Pflanzenschutzmittel, die aus einem in Anlage 1 aufgeführten Stoff bestehen oder einen solchen Stoff enthalten, dürfen nicht angewandt werden.</w:t>
      </w:r>
    </w:p>
    <w:p>
      <w:pPr>
        <w:pStyle w:val="berschrift3"/>
      </w:pPr>
      <w:bookmarkStart w:id="3" w:name="_Toc193196121"/>
      <w:r>
        <w:t>§ 2</w:t>
      </w:r>
      <w:r>
        <w:br/>
        <w:t>Eingeschränktes Anwendungsverbot</w:t>
      </w:r>
      <w:bookmarkEnd w:id="3"/>
    </w:p>
    <w:p>
      <w:pPr>
        <w:pStyle w:val="GesAbsatz"/>
      </w:pPr>
      <w:r>
        <w:t>Pflanzenschutzmittel, die aus einem in Anlage 2 aufgeführten Stoff bestehen oder einen solchen Stoff enthalten, dürfen nur angewandt werden, soweit dies nach Spalte 3 zulässig ist.</w:t>
      </w:r>
    </w:p>
    <w:p>
      <w:pPr>
        <w:pStyle w:val="berschrift3"/>
      </w:pPr>
      <w:bookmarkStart w:id="4" w:name="_Toc193196122"/>
      <w:r>
        <w:t>§ 3</w:t>
      </w:r>
      <w:r>
        <w:br/>
        <w:t>Anwendungsbeschränkungen</w:t>
      </w:r>
      <w:bookmarkEnd w:id="4"/>
    </w:p>
    <w:p>
      <w:pPr>
        <w:pStyle w:val="GesAbsatz"/>
      </w:pPr>
      <w:r>
        <w:t>(1) Pflanzenschutzmittel, die aus einem in Anlage 3 Abschnitt A aufgeführten Stoff bestehen oder einen solchen Stoff enthalten, dürfen nicht angewandt werden, soweit dies nach Spalte 3 verboten ist.</w:t>
      </w:r>
    </w:p>
    <w:p>
      <w:pPr>
        <w:pStyle w:val="GesAbsatz"/>
      </w:pPr>
      <w:r>
        <w:t>(2) Pflanzenschutzmittel, die aus einem in Anlage 3 Abschnitt B aufgeführten Stoff bestehen oder einen solchen Stoff enthalten, dürfen nicht in Wasserschutzgebieten und Heilquellenschutzgebieten angewandt werden, soweit nicht</w:t>
      </w:r>
    </w:p>
    <w:p>
      <w:pPr>
        <w:pStyle w:val="GesAbsatz"/>
      </w:pPr>
      <w:r>
        <w:t>1.</w:t>
      </w:r>
      <w:r>
        <w:tab/>
        <w:t xml:space="preserve">sich aus Spalte 3 etwas </w:t>
      </w:r>
      <w:proofErr w:type="gramStart"/>
      <w:r>
        <w:t>anderes</w:t>
      </w:r>
      <w:proofErr w:type="gramEnd"/>
      <w:r>
        <w:t xml:space="preserve"> ergibt oder</w:t>
      </w:r>
    </w:p>
    <w:p>
      <w:pPr>
        <w:pStyle w:val="GesAbsatz"/>
        <w:ind w:left="420" w:hanging="420"/>
      </w:pPr>
      <w:r>
        <w:t>2.</w:t>
      </w:r>
      <w:r>
        <w:tab/>
        <w:t>das Pflanzenschutzmittel in Unkrautstäben, gebrauchsfertig in Sprühdosen, zur Anwendung nach Wasserzugabe in Handzerstäubern oder als Stäbchen oder Zäpfchen zur Anwendung an Topfpflanzen in den Verkehr gebracht wird oder</w:t>
      </w:r>
    </w:p>
    <w:p>
      <w:pPr>
        <w:pStyle w:val="GesAbsatz"/>
      </w:pPr>
      <w:r>
        <w:t>3.</w:t>
      </w:r>
      <w:r>
        <w:tab/>
        <w:t>eine Anwendung in der Schutzregelung ausdrücklich gestattet ist.</w:t>
      </w:r>
    </w:p>
    <w:p>
      <w:pPr>
        <w:pStyle w:val="GesAbsatz"/>
      </w:pPr>
      <w:r>
        <w:t xml:space="preserve">(3) Die zuständige Behörde kann anordnen, </w:t>
      </w:r>
      <w:proofErr w:type="spellStart"/>
      <w:r>
        <w:t>daß</w:t>
      </w:r>
      <w:proofErr w:type="spellEnd"/>
      <w:r>
        <w:t xml:space="preserve"> Pflanzenschutzmittel, die aus einem in Anlage 2 Nummer 2, 3 und 5 oder in Anlage 3 Abschnitt B aufgeführten Stoff bestehen oder einen solchen Stoff enthalten, auch außerhalb von Wasserschutzgebieten und Heilquellenschutzgebieten in bestimmt abgegrenzten</w:t>
      </w:r>
    </w:p>
    <w:p>
      <w:pPr>
        <w:pStyle w:val="GesAbsatz"/>
      </w:pPr>
      <w:r>
        <w:t>1.</w:t>
      </w:r>
      <w:r>
        <w:tab/>
        <w:t>Einzugsgebieten von Trinkwassergewinnungsanlagen oder Heilquellen oder</w:t>
      </w:r>
    </w:p>
    <w:p>
      <w:pPr>
        <w:pStyle w:val="GesAbsatz"/>
      </w:pPr>
      <w:r>
        <w:t>2.</w:t>
      </w:r>
      <w:r>
        <w:tab/>
        <w:t>sonstigen Gebieten zum Schutz des Grundwassers</w:t>
      </w:r>
    </w:p>
    <w:p>
      <w:pPr>
        <w:pStyle w:val="GesAbsatz"/>
      </w:pPr>
      <w:r>
        <w:t>nicht angewandt werden dürfen.</w:t>
      </w:r>
    </w:p>
    <w:p>
      <w:pPr>
        <w:pStyle w:val="berschrift3"/>
      </w:pPr>
      <w:bookmarkStart w:id="5" w:name="_Toc193196123"/>
      <w:r>
        <w:lastRenderedPageBreak/>
        <w:t>§ 3a</w:t>
      </w:r>
      <w:r>
        <w:br/>
        <w:t>Besondere Abgabebedingungen</w:t>
      </w:r>
      <w:bookmarkEnd w:id="5"/>
    </w:p>
    <w:p>
      <w:pPr>
        <w:pStyle w:val="GesAbsatz"/>
      </w:pPr>
      <w:r>
        <w:t xml:space="preserve">Pflanzenschutzmittel, die aus einem in Anlage 4 aufgeführten Stoff bestehen oder einen solchen Stoff enthalten und deren Anwendung auf einer Freilandfläche vorgesehen ist, die nicht landwirtschaftlich, forstwirtschaftlich oder gärtnerisch genutzt wird, dürfen nur dann an einen anderen abgegeben werden, wenn dem Abgebenden zuvor eine </w:t>
      </w:r>
      <w:proofErr w:type="gramStart"/>
      <w:r>
        <w:t>dem anderen erteilte Genehmigung</w:t>
      </w:r>
      <w:proofErr w:type="gramEnd"/>
      <w:r>
        <w:t xml:space="preserve"> nach § 12 Absatz 2 Satz 3 des Pflanzenschutzgesetzes vorgelegt worden ist.</w:t>
      </w:r>
    </w:p>
    <w:p>
      <w:pPr>
        <w:pStyle w:val="berschrift3"/>
      </w:pPr>
      <w:bookmarkStart w:id="6" w:name="_Toc193196124"/>
      <w:r>
        <w:t>§ 3b</w:t>
      </w:r>
      <w:r>
        <w:br/>
        <w:t>Besondere Anwendungsbedingungen</w:t>
      </w:r>
      <w:bookmarkEnd w:id="6"/>
    </w:p>
    <w:p>
      <w:pPr>
        <w:pStyle w:val="GesAbsatz"/>
      </w:pPr>
      <w:r>
        <w:t>(1) Bei der Anwendung von Pflanzenschutzmitteln, die aus einem in Anlage 3 Abschnitt A Nummer 4 aufgeführten Stoff bestehen oder einen solchen Stoff enthalten, sind neben den mit der Zulassung des jeweiligen Pflanzenschutzmittels festgelegten Anwendungsbestimmungen und Nebenbestimmungen die in den Absätzen 2 bis 5 genannten Bedingungen einzuhalten.</w:t>
      </w:r>
    </w:p>
    <w:p>
      <w:pPr>
        <w:pStyle w:val="GesAbsatz"/>
      </w:pPr>
      <w:r>
        <w:t>(2) Die Anwendung ist nur zulässig, wenn nach den Umständen des Einzelfalles vorbeugende Maßnahmen, wie die Wahl einer geeigneten Fruchtfolge, eines geeigneten Aussaatzeitpunktes oder mechanischer Maßnahmen im Bestand oder das Anlegen einer Pflugfurche, nicht durchgeführt werden können und andere technische Maßnahmen nicht geeignet oder zumutbar sind. Die Aufwandmenge, die Häufigkeit der Anwendung und die zu behandelnden Flächen sind auf das notwendige Maß zu beschränken.</w:t>
      </w:r>
    </w:p>
    <w:p>
      <w:pPr>
        <w:pStyle w:val="GesAbsatz"/>
      </w:pPr>
      <w:r>
        <w:t>(3) Eine Anwendung von Pflanzenschutzmitteln nach Absatz 1 zur Vorsaatbehandlung, ausgenommen im Rahmen eines Direktsaat- oder Mulchsaatverfahrens, oder nach der Ernte zur Stoppelbehandlung ist nur zulässig</w:t>
      </w:r>
    </w:p>
    <w:p>
      <w:pPr>
        <w:pStyle w:val="GesAbsatz"/>
        <w:ind w:left="420" w:hanging="420"/>
      </w:pPr>
      <w:r>
        <w:t>1.</w:t>
      </w:r>
      <w:r>
        <w:tab/>
        <w:t>zur Bekämpfung perennierender Unkrautarten wie Ackerkratzdistel, Ackerwinde, Ampfer, Landwasserknöterich und Quecke auf den betroffenen Teilflächen, oder</w:t>
      </w:r>
    </w:p>
    <w:p>
      <w:pPr>
        <w:pStyle w:val="GesAbsatz"/>
        <w:ind w:left="420" w:hanging="420"/>
      </w:pPr>
      <w:r>
        <w:t>2.</w:t>
      </w:r>
      <w:r>
        <w:tab/>
        <w:t>zur Unkrautbekämpfung, einschließlich der Beseitigung von Mulch- und Ausfallkulturen, auf Ackerflächen, die in eine Erosionsgefährdungsklasse nach § 16 Absatz 2 bis 4 der GAP-Konditionalitäten-Verordnung vom 7. Dezember 2022 (BGBl. I S. 2244), die durch Artikel 1 des Gesetzes vom 9. Dezember 2022 (BGBl. I S. 2273) geändert worden ist, in der jeweils geltenden Fassung zugeordnet sind.</w:t>
      </w:r>
    </w:p>
    <w:p>
      <w:pPr>
        <w:pStyle w:val="GesAbsatz"/>
      </w:pPr>
      <w:r>
        <w:t>(4) Eine flächige Anwendung von Pflanzenschutzmitteln nach Absatz 1 auf Grünland ist nur zulässig</w:t>
      </w:r>
    </w:p>
    <w:p>
      <w:pPr>
        <w:pStyle w:val="GesAbsatz"/>
        <w:ind w:left="420" w:hanging="420"/>
      </w:pPr>
      <w:r>
        <w:t>1.</w:t>
      </w:r>
      <w:r>
        <w:tab/>
        <w:t>zur Erneuerung des Grünlandes bei einer Verunkrautung, bei der auf Grund ihres Ausmaßes ohne die Anwendung die wirtschaftliche Nutzung des Grünlandes oder die Futtergewinnung wegen eines Risikos für die Tiergesundheit nicht möglich ist, oder</w:t>
      </w:r>
    </w:p>
    <w:p>
      <w:pPr>
        <w:pStyle w:val="GesAbsatz"/>
        <w:ind w:left="420" w:hanging="420"/>
      </w:pPr>
      <w:r>
        <w:t>2.</w:t>
      </w:r>
      <w:r>
        <w:tab/>
        <w:t>zur Vorbereitung einer Neueinsaat auf Flächen dient, die in eine Erosionsgefährdungsklasse nach § 16 Absatz 2 bis 4 der GAP-Konditionalitäten-Verordnung zugeordnet ist oder auf denen eine wendende Bodenbearbeitung auf Grund anderer Vorschriften nicht erlaubt ist, oder</w:t>
      </w:r>
    </w:p>
    <w:p>
      <w:pPr>
        <w:pStyle w:val="GesAbsatz"/>
        <w:ind w:left="420" w:hanging="420"/>
      </w:pPr>
      <w:r>
        <w:t>3.</w:t>
      </w:r>
      <w:r>
        <w:tab/>
        <w:t>zur Bekämpfung invasiver gebietsfremder Arten im Sinne des Artikels 3 Nummer 2 der Verordnung (EU) Nr. 1143/2014 des Europäischen Parlaments und des Rates vom 22. Oktober 2014 über die Prävention und das Management der Einbringung und Ausbreitung invasiver gebietsfremder Arten (ABl. L 317 vom 4.11.2014, S. 35), die durch die Verordnung (EU) 2016/2031 (ABl. L 317 vom 23.11.2016, S. 4) geändert worden ist, oder von Quarantäneschädlingen im Sinne des Artikels 3 der Verordnung (EU) 2016/2031 des Europäischen Parlaments und des Rates vom 26. Oktober 2016 über Maßnahmen zum Schutz vor Pflanzenschädlingen, zur Änderung der Verordnungen (EU) Nr. 228/2013, (EU) Nr. 652/2014 und (EU) Nr. 1143/2014 des Europäischen Parlaments und des Rates und zur Aufhebung der Richtlinien 69/464/EWG, 74/647/EWG, 93/85/EWG, 98/57/EWG, 2000/29/EG, 2006/91/EG und 2007/33/EG des Rates (ABl. L 317 vom 23.11.2016, S. 4; L 35 vom 7.2.2020, S. 51; L 65 vom 25.2.2021, S. 61), die durch die Verordnung (EU) 2017/625 (ABl. L 95 vom 7.4.2017, S. 1) geändert worden ist, die nach den Umständen des Einzelfalls nicht durch andere geeignete und zumutbare Verfahren bekämpft werden können.</w:t>
      </w:r>
    </w:p>
    <w:p>
      <w:pPr>
        <w:pStyle w:val="GesAbsatz"/>
      </w:pPr>
      <w:r>
        <w:t>Im Falle von Satz 1 Nummer 1 ist die Anwendung auf die betroffenen Teilflächen des Grünlands zu beschränken.</w:t>
      </w:r>
    </w:p>
    <w:p>
      <w:pPr>
        <w:pStyle w:val="GesAbsatz"/>
      </w:pPr>
      <w:r>
        <w:t>(5) Eine Spätanwendung von Pflanzenschutzmitteln nach Absatz 1 vor der Ernte sowie die Anwendung in Wasserschutzgebieten, Heilquellenschutzgebieten und Kern- und Pflegezonen von Biosphärenreservaten ist nicht zulässig.</w:t>
      </w:r>
    </w:p>
    <w:p>
      <w:pPr>
        <w:pStyle w:val="berschrift3"/>
      </w:pPr>
      <w:bookmarkStart w:id="7" w:name="_Toc193196125"/>
      <w:r>
        <w:lastRenderedPageBreak/>
        <w:t>§ 4</w:t>
      </w:r>
      <w:r>
        <w:br/>
        <w:t>Verbot der Anwendung in Gebieten mit Bedeutung für den Naturschutz</w:t>
      </w:r>
      <w:bookmarkEnd w:id="7"/>
    </w:p>
    <w:p>
      <w:pPr>
        <w:pStyle w:val="GesAbsatz"/>
      </w:pPr>
      <w:r>
        <w:t>(1) In Naturschutzgebieten, Nationalparken, Nationalen Naturmonumenten, Naturdenkmälern und gesetzlich geschützten Biotopen im Sinne des § 30 des Bundesnaturschutzgesetzes, ausgenommen Trockenmauern im Weinbau, dürfen Pflanzenschutzmittel nicht angewendet werden, die</w:t>
      </w:r>
    </w:p>
    <w:p>
      <w:pPr>
        <w:pStyle w:val="GesAbsatz"/>
      </w:pPr>
      <w:r>
        <w:t>1.</w:t>
      </w:r>
      <w:r>
        <w:tab/>
        <w:t>aus einem in Anlage 2 oder 3 aufgeführten Stoff bestehen oder einen solchen Stoff enthalten,</w:t>
      </w:r>
    </w:p>
    <w:p>
      <w:pPr>
        <w:pStyle w:val="GesAbsatz"/>
      </w:pPr>
      <w:r>
        <w:t>2.</w:t>
      </w:r>
      <w:r>
        <w:tab/>
        <w:t>dazu bestimmt sind, unerwünschte Pflanzen oder Pflanzenteile zu vernichten, oder</w:t>
      </w:r>
    </w:p>
    <w:p>
      <w:pPr>
        <w:pStyle w:val="GesAbsatz"/>
        <w:ind w:left="420" w:hanging="420"/>
      </w:pPr>
      <w:r>
        <w:t>3.</w:t>
      </w:r>
      <w:r>
        <w:tab/>
        <w:t>dazu bestimmt sind, Pflanzen oder Pflanzenteile vor Insekten zu schützen oder Insekten zu bekämpfen, und die durch das Bundesamt für Verbraucherschutz und Lebensmittelsicherheit mit der Auflage einer Kennzeichnung als bienengefährlich B1 bis B3 oder als bestäubergefährlich NN 410 zugelassen worden sind.</w:t>
      </w:r>
    </w:p>
    <w:p>
      <w:pPr>
        <w:pStyle w:val="GesAbsatz"/>
      </w:pPr>
      <w:r>
        <w:t>Die Verbote des Satzes 1 gelten auch in Gebieten von gemeinschaftlicher Bedeutung im Sinne des § 7 Absatz 1 Nummer 6 des Bundesnaturschutzgesetzes, ausgenommen Flächen zum Gartenbau, Obst- und Weinbau, Anbau von Hopfen und sonstigen Sonderkulturen, zur Vermehrung von Saatgut und Pflanzgut sowie nach Maßgabe des Absatzes 3 Ackerflächen, die nicht als Naturschutzgebiet, Nationalpark, Nationales Naturmonument oder Naturdenkmal ausgewiesen sind. Die Sätze 1 und 2 gelten nicht, soweit ein Land Vorschriften erlassen hat oder erlässt, mit denen für Schutzgebiete nach wasserrechtlichen oder naturschutzrechtlichen Bestimmungen über das Bundesrecht hinausgehende Vorgaben zum Pflanzenschutzmitteleinsatz einschließlich Ausnahmen und Befreiungen festgelegt werden.</w:t>
      </w:r>
    </w:p>
    <w:p>
      <w:pPr>
        <w:pStyle w:val="GesAbsatz"/>
      </w:pPr>
      <w:r>
        <w:t>(2) Die zuständige Behörde kann Ausnahmen von den in Absatz 1 genannten Verboten zulassen:</w:t>
      </w:r>
    </w:p>
    <w:p>
      <w:pPr>
        <w:pStyle w:val="GesAbsatz"/>
        <w:ind w:left="420" w:hanging="420"/>
      </w:pPr>
      <w:r>
        <w:t>1.</w:t>
      </w:r>
      <w:r>
        <w:tab/>
        <w:t>zur Abwendung erheblicher landwirtschaftlicher, forstwirtschaftlicher oder sonstiger wirtschaftlicher Schäden,</w:t>
      </w:r>
    </w:p>
    <w:p>
      <w:pPr>
        <w:pStyle w:val="GesAbsatz"/>
      </w:pPr>
      <w:r>
        <w:t>2.</w:t>
      </w:r>
      <w:r>
        <w:tab/>
        <w:t>zum Schutz der heimischen Tier- und Pflanzenwelt, insbesondere vor invasiven Arten, oder</w:t>
      </w:r>
    </w:p>
    <w:p>
      <w:pPr>
        <w:pStyle w:val="GesAbsatz"/>
      </w:pPr>
      <w:r>
        <w:t>3.</w:t>
      </w:r>
      <w:r>
        <w:tab/>
        <w:t>zur Gewährleistung der Verkehrssicherheit von Schienenwegen.</w:t>
      </w:r>
    </w:p>
    <w:p>
      <w:pPr>
        <w:pStyle w:val="GesAbsatz"/>
      </w:pPr>
      <w:r>
        <w:t>Dies gilt nicht für die Anwendung von Pflanzenschutzmitteln, die aus einem in Anlage 3 Abschnitt A Nummer 4 aufgeführten Stoff bestehen oder einen solchen Stoff enthalten.</w:t>
      </w:r>
    </w:p>
    <w:p>
      <w:pPr>
        <w:pStyle w:val="GesAbsatz"/>
      </w:pPr>
      <w:r>
        <w:t>(3) In Gebieten von gemeinschaftlicher Bedeutung im Sinne des § 7 Absatz 1 Nummer 6 des Bundesnaturschutzgesetzes soll auf Ackerflächen, die nicht als Naturschutzgebiet, Nationalpark, Nationales Naturmonument oder Naturdenkmal ausgewiesen sind, bis zum 30. Juni 2024 mittels freiwilliger Vereinbarungen und Maßnahmen eine Bewirtschaftung ohne Anwendung der in Absatz 1 Satz 1 aufgeführten Pflanzenschutzmittel erreicht werden.</w:t>
      </w:r>
    </w:p>
    <w:p>
      <w:pPr>
        <w:pStyle w:val="GesAbsatz"/>
      </w:pPr>
      <w:r>
        <w:t>(4) Das Bundesministerium für Ernährung und Landwirtschaft untersucht die Anwendung der in Absatz 1 Satz 1 aufgeführten Pflanzenschutzmittel auf den in Absatz 1 Satz 2 bezeichneten Ackerflächen sowie die Maßnahmen, die zur Reduzierung der Anwendung dieser Pflanzenschutzmittel auf diesen Flächen ergriffen werden. Das Bundesministerium für Ernährung und Landwirtschaft erstattet dem Bundeskabinett bis spätestens 30. Juni 2024 Bericht über die Auswirkung der zur Reduzierung der Anwendung von Pflanzenschutzmitteln ergriffenen Maßnahmen. Dieser Bericht soll, sofern erforderlich, Vorschläge für Anpassungen der Regelungen des Absatzes 1 enthalten.</w:t>
      </w:r>
    </w:p>
    <w:p>
      <w:pPr>
        <w:pStyle w:val="berschrift3"/>
      </w:pPr>
      <w:bookmarkStart w:id="8" w:name="_Toc193196126"/>
      <w:r>
        <w:t>§ 4a</w:t>
      </w:r>
      <w:r>
        <w:br/>
        <w:t>Verbot der Anwendung an Gewässern</w:t>
      </w:r>
      <w:bookmarkEnd w:id="8"/>
    </w:p>
    <w:p>
      <w:pPr>
        <w:pStyle w:val="GesAbsatz"/>
      </w:pPr>
      <w:r>
        <w:t>(1) Pflanzenschutzmittel dürfen an Gewässern, ausgenommen kleine Gewässer von wasserwirtschaftlich untergeordneter Bedeutung, innerhalb eines Abstandes von zehn Metern zum Gewässer, gemessen ab der Böschungsoberkante oder soweit keine Böschungsoberkante vorhanden ist ab der Linie des Mittelwasserstandes, nicht angewendet werden. Abweichend von Satz 1 beträgt der einzuhaltende Mindestabstand fünf Meter, wenn eine geschlossene, ganzjährig begrünte Pflanzendecke vorhanden ist. Eine Bodenbearbeitung zur Erneuerung des Pflanzenbewuchses darf einmal innerhalb von Fünfjahreszeiträumen durchgeführt werden. Der erste Fünfjahreszeitraum beginnt mit dem 1. Juli 2020. Sind mit der Zulassung des jeweiligen Pflanzenschutzmittels Anwendungsbestimmungen über größere Abstände oder über die zu verwendenden Pflanzenschutzgeräte festgelegt worden, bleibt die Pflicht zur Einhaltung dieser Anwendungsbestimmungen unberührt. Die Sätze 1 bis 4 gelten nicht, soweit ein Land Regelungen nach § 22 Absatz 1 Nummer 1 Buchstabe b des Pflanzenschutzgesetzes getroffen hat oder trifft, mit denen abweichende Gewässerabstände festgelegt werden.</w:t>
      </w:r>
    </w:p>
    <w:p>
      <w:pPr>
        <w:pStyle w:val="GesAbsatz"/>
      </w:pPr>
      <w:r>
        <w:lastRenderedPageBreak/>
        <w:t>(2) Die zuständige Behörde kann Ausnahmen von Absatz 1 Satz 1 und 2 zur Abwendung erheblicher landwirtschaftlicher, forstwirtschaftlicher oder sonstiger wirtschaftlicher Schäden oder zum Schutz der heimischen Tier- und Pflanzenwelt, insbesondere vor invasiven Arten, genehmigen.</w:t>
      </w:r>
    </w:p>
    <w:p>
      <w:pPr>
        <w:pStyle w:val="berschrift3"/>
      </w:pPr>
      <w:bookmarkStart w:id="9" w:name="_Toc193196127"/>
      <w:r>
        <w:t>§ 5</w:t>
      </w:r>
      <w:r>
        <w:br/>
        <w:t>Einfuhrverbote</w:t>
      </w:r>
      <w:bookmarkEnd w:id="9"/>
    </w:p>
    <w:p>
      <w:pPr>
        <w:pStyle w:val="GesAbsatz"/>
      </w:pPr>
      <w:r>
        <w:t>(1) Pflanzgut, in oder auf dem ein Pflanzenschutzmittel vorhanden ist, das aus einem in Anlage 1 aufgeführten Stoff besteht oder einen solchen Stoff enthält, darf nicht eingeführt werden.</w:t>
      </w:r>
    </w:p>
    <w:p>
      <w:pPr>
        <w:pStyle w:val="GesAbsatz"/>
      </w:pPr>
      <w:r>
        <w:t>(2) Saat- oder Pflanzgut oder Kultursubstrat, in oder auf dem ein Pflanzenschutzmittel vorhanden ist, das aus einem in Anlage 2 aufgeführten Stoff besteht oder einen solchen Stoff enthält, darf nicht eingeführt werden. Dies gilt nicht, soweit nach Anlage 2 Spalte 3 die Anwendung des Stoffes zur Behandlung des Saat- oder Pflanzgutes oder Kultursubstrats ausdrücklich zulässig ist und nicht der Zustimmung der zuständigen Behörde bedarf.</w:t>
      </w:r>
    </w:p>
    <w:p>
      <w:pPr>
        <w:pStyle w:val="berschrift3"/>
      </w:pPr>
      <w:bookmarkStart w:id="10" w:name="_Toc193196128"/>
      <w:r>
        <w:t>§ 6</w:t>
      </w:r>
      <w:r>
        <w:br/>
        <w:t>Verunreinigungen</w:t>
      </w:r>
      <w:bookmarkEnd w:id="10"/>
    </w:p>
    <w:p>
      <w:pPr>
        <w:pStyle w:val="GesAbsatz"/>
      </w:pPr>
      <w:r>
        <w:t>Im Rahmen der §§ 1 bis 4 bleiben produktionstechnisch bedingte, geringfügige Verunreinigen mit in den Anlagen aufgeführten Stoffen unberücksichtigt, soweit dadurch nicht der Schutz der menschlichen Gesundheit oder die Abwehr von Gefahren, insbesondere für die Gesundheit von Mensch und Tier und für den Naturhaushalt, beeinträchtigt wird.</w:t>
      </w:r>
    </w:p>
    <w:p>
      <w:pPr>
        <w:pStyle w:val="berschrift3"/>
      </w:pPr>
      <w:bookmarkStart w:id="11" w:name="_Toc193196129"/>
      <w:r>
        <w:t>§ 7</w:t>
      </w:r>
      <w:r>
        <w:br/>
        <w:t>Ausnahmen</w:t>
      </w:r>
      <w:bookmarkEnd w:id="11"/>
    </w:p>
    <w:p>
      <w:pPr>
        <w:pStyle w:val="GesAbsatz"/>
      </w:pPr>
      <w:r>
        <w:t>(1) Das Bundesamt für Verbraucherschutz und Lebensmittelsicherheit kann die Anwendung von Pflanzenschutzmitteln außerhalb von Wasserschutzgebieten und Heilquellenschutzgebieten sowie die Einfuhr von Saat- oder Pflanzgut oder Kultursubstrat in Einzelfällen abweichend von den §§ 1 bis 3 und 5 für Forschungs-, Untersuchungs- oder Versuchszwecke genehmigen.</w:t>
      </w:r>
    </w:p>
    <w:p>
      <w:pPr>
        <w:pStyle w:val="GesAbsatz"/>
      </w:pPr>
      <w:r>
        <w:t xml:space="preserve">(2) Die zuständige Behörde kann im Einzelfall genehmigen, </w:t>
      </w:r>
      <w:proofErr w:type="spellStart"/>
      <w:r>
        <w:t>daß</w:t>
      </w:r>
      <w:proofErr w:type="spellEnd"/>
    </w:p>
    <w:p>
      <w:pPr>
        <w:pStyle w:val="GesAbsatz"/>
      </w:pPr>
      <w:r>
        <w:t>1.</w:t>
      </w:r>
      <w:r>
        <w:tab/>
        <w:t>in Gewächshäusern oder ähnlich geschlossenen Systemen abweichend von</w:t>
      </w:r>
    </w:p>
    <w:p>
      <w:pPr>
        <w:pStyle w:val="GesAbsatz"/>
        <w:tabs>
          <w:tab w:val="clear" w:pos="425"/>
        </w:tabs>
        <w:ind w:left="851" w:hanging="425"/>
      </w:pPr>
      <w:r>
        <w:t>a)</w:t>
      </w:r>
      <w:r>
        <w:tab/>
        <w:t>§ 2 Pflanzenschutzmittel, die aus einem in Anlage 2 aufgeführten Stoff, der in Wasserschutzgebieten oder Heilquellenschutzgebieten nicht angewandt werden darf,</w:t>
      </w:r>
    </w:p>
    <w:p>
      <w:pPr>
        <w:pStyle w:val="GesAbsatz"/>
        <w:tabs>
          <w:tab w:val="clear" w:pos="425"/>
        </w:tabs>
        <w:ind w:left="851" w:hanging="425"/>
      </w:pPr>
      <w:r>
        <w:t>b)</w:t>
      </w:r>
      <w:r>
        <w:tab/>
        <w:t>§ 3 Abs. 2 Pflanzenschutzmittel, die aus einem in Anlage 3 Abschnitt B aufgeführten Stoff</w:t>
      </w:r>
    </w:p>
    <w:p>
      <w:pPr>
        <w:pStyle w:val="GesAbsatz"/>
        <w:tabs>
          <w:tab w:val="clear" w:pos="425"/>
        </w:tabs>
        <w:ind w:left="426"/>
      </w:pPr>
      <w:r>
        <w:t xml:space="preserve">bestehen oder einen solchen Stoff enthalten, in einem Wasserschutzgebiet oder Heilquellenschutzgebiet angewandt werden, soweit durch Schutzvorkehrungen sichergestellt ist, </w:t>
      </w:r>
      <w:proofErr w:type="spellStart"/>
      <w:r>
        <w:t>daß</w:t>
      </w:r>
      <w:proofErr w:type="spellEnd"/>
      <w:r>
        <w:t xml:space="preserve"> die Pflanzenschutzmittel oder ihre Abbauprodukte nicht abgeschwemmt werden oder in das Erdreich versickern können;</w:t>
      </w:r>
    </w:p>
    <w:p>
      <w:pPr>
        <w:pStyle w:val="GesAbsatz"/>
      </w:pPr>
      <w:r>
        <w:t>2.</w:t>
      </w:r>
      <w:r>
        <w:tab/>
        <w:t>im Einvernehmen mit der nach Wasserrecht zuständigen Behörde abweichend von</w:t>
      </w:r>
    </w:p>
    <w:p>
      <w:pPr>
        <w:pStyle w:val="GesAbsatz"/>
        <w:tabs>
          <w:tab w:val="clear" w:pos="425"/>
        </w:tabs>
        <w:ind w:left="851" w:hanging="425"/>
      </w:pPr>
      <w:r>
        <w:t>a)</w:t>
      </w:r>
      <w:r>
        <w:tab/>
        <w:t>§ 2 Pflanzenschutzmittel, die aus einem in Anlage 2 aufgeführten Stoff, der in Wasserschutzgebieten oder Heilquellenschutzgebieten nicht angewandt werden darf,</w:t>
      </w:r>
    </w:p>
    <w:p>
      <w:pPr>
        <w:pStyle w:val="GesAbsatz"/>
        <w:tabs>
          <w:tab w:val="clear" w:pos="425"/>
        </w:tabs>
        <w:ind w:left="851" w:hanging="425"/>
      </w:pPr>
      <w:r>
        <w:t>b)</w:t>
      </w:r>
      <w:r>
        <w:tab/>
        <w:t>§ 3 Abs. 2 Pflanzenschutzmittel, die aus einem in Anlage 3 Abschnitt B aufgeführten Stoff</w:t>
      </w:r>
    </w:p>
    <w:p>
      <w:pPr>
        <w:pStyle w:val="GesAbsatz"/>
        <w:tabs>
          <w:tab w:val="clear" w:pos="425"/>
        </w:tabs>
        <w:ind w:left="426"/>
      </w:pPr>
      <w:r>
        <w:t xml:space="preserve">bestehen oder einen solchen Stoff enthalten, in einem Wasserschutzgebiet oder Heilquellenschutzgebiet angewandt werden, wenn sichergestellt ist, </w:t>
      </w:r>
      <w:proofErr w:type="spellStart"/>
      <w:r>
        <w:t>daß</w:t>
      </w:r>
      <w:proofErr w:type="spellEnd"/>
      <w:r>
        <w:t xml:space="preserve"> dadurch der Schutz der Gesundheit von Mensch und Tier und der Schutz des Grundwassers und des Naturhaushalts nicht beeinträchtigt wird.</w:t>
      </w:r>
    </w:p>
    <w:p>
      <w:pPr>
        <w:pStyle w:val="berschrift3"/>
      </w:pPr>
      <w:bookmarkStart w:id="12" w:name="_Toc193196130"/>
      <w:r>
        <w:t>§ 8</w:t>
      </w:r>
      <w:r>
        <w:br/>
        <w:t>Straftaten und Ordnungswidrigkeiten</w:t>
      </w:r>
      <w:bookmarkEnd w:id="12"/>
    </w:p>
    <w:p>
      <w:pPr>
        <w:pStyle w:val="GesAbsatz"/>
        <w:tabs>
          <w:tab w:val="clear" w:pos="425"/>
        </w:tabs>
      </w:pPr>
      <w:r>
        <w:t>(1) Nach § 69 Absatz 1 Nummer 2, Absatz 6 des Pflanzenschutzgesetzes wird bestraft, wer entgegen § 1 ein Pflanzenschutzmittel anwendet.</w:t>
      </w:r>
    </w:p>
    <w:p>
      <w:pPr>
        <w:pStyle w:val="GesAbsatz"/>
        <w:tabs>
          <w:tab w:val="clear" w:pos="425"/>
        </w:tabs>
      </w:pPr>
      <w:r>
        <w:t>(2) Ordnungswidrig im Sinne des § 68 Absatz 1 Nummer 3 des Pflanzenschutzgesetzes handelt, wer vorsätzlich oder fahrlässig</w:t>
      </w:r>
    </w:p>
    <w:p>
      <w:pPr>
        <w:pStyle w:val="GesAbsatz"/>
        <w:tabs>
          <w:tab w:val="clear" w:pos="425"/>
        </w:tabs>
        <w:ind w:left="705" w:hanging="705"/>
      </w:pPr>
      <w:r>
        <w:t>1.</w:t>
      </w:r>
      <w:r>
        <w:tab/>
        <w:t>entgegen § 2, § 3 Absatz 1 oder Absatz 2, § 3b Absatz 3, Absatz 4 Satz 1 oder Absatz 5, § 4 Absatz 1 Satz 1, auch in Verbindung mit Satz 2, oder § 4a Absatz 1 Satz 1 ein Pflanzenschutzmittel anwendet,</w:t>
      </w:r>
    </w:p>
    <w:p>
      <w:pPr>
        <w:pStyle w:val="GesAbsatz"/>
        <w:tabs>
          <w:tab w:val="clear" w:pos="425"/>
        </w:tabs>
      </w:pPr>
      <w:r>
        <w:t>2.</w:t>
      </w:r>
      <w:r>
        <w:tab/>
        <w:t>einer vollziehbaren Anordnung nach § 3 Absatz 3 zuwiderhandelt oder</w:t>
      </w:r>
    </w:p>
    <w:p>
      <w:pPr>
        <w:pStyle w:val="GesAbsatz"/>
        <w:tabs>
          <w:tab w:val="clear" w:pos="425"/>
        </w:tabs>
      </w:pPr>
      <w:r>
        <w:t>3.</w:t>
      </w:r>
      <w:r>
        <w:tab/>
        <w:t>entgegen § 3a ein Pflanzenschutzmittel abgibt.</w:t>
      </w:r>
    </w:p>
    <w:p>
      <w:pPr>
        <w:pStyle w:val="berschrift2"/>
        <w:jc w:val="left"/>
      </w:pPr>
      <w:bookmarkStart w:id="13" w:name="_Toc193196131"/>
      <w:r>
        <w:lastRenderedPageBreak/>
        <w:t>Anlage 1 (zu den §§ 1 und 5 Abs. 1)</w:t>
      </w:r>
      <w:bookmarkEnd w:id="13"/>
    </w:p>
    <w:p>
      <w:pPr>
        <w:pStyle w:val="GesAbsatz"/>
        <w:jc w:val="center"/>
        <w:rPr>
          <w:b/>
        </w:rPr>
      </w:pPr>
      <w:r>
        <w:rPr>
          <w:b/>
        </w:rPr>
        <w:t>Vollständiges Anwendungsverbot</w:t>
      </w:r>
    </w:p>
    <w:p/>
    <w:tbl>
      <w:tblPr>
        <w:tblW w:w="8039"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3"/>
        <w:gridCol w:w="6996"/>
      </w:tblGrid>
      <w:tr>
        <w:trPr>
          <w:trHeight w:val="285"/>
        </w:trPr>
        <w:tc>
          <w:tcPr>
            <w:tcW w:w="1043" w:type="dxa"/>
          </w:tcPr>
          <w:p>
            <w:pPr>
              <w:pStyle w:val="GesAbsatz"/>
              <w:jc w:val="left"/>
              <w:rPr>
                <w:b/>
              </w:rPr>
            </w:pPr>
            <w:r>
              <w:rPr>
                <w:b/>
              </w:rPr>
              <w:t>Nummer</w:t>
            </w:r>
          </w:p>
        </w:tc>
        <w:tc>
          <w:tcPr>
            <w:tcW w:w="6996" w:type="dxa"/>
          </w:tcPr>
          <w:p>
            <w:pPr>
              <w:pStyle w:val="GesAbsatz"/>
              <w:jc w:val="left"/>
              <w:rPr>
                <w:b/>
              </w:rPr>
            </w:pPr>
            <w:r>
              <w:rPr>
                <w:b/>
              </w:rPr>
              <w:t>Stoff</w:t>
            </w:r>
          </w:p>
        </w:tc>
      </w:tr>
      <w:tr>
        <w:trPr>
          <w:trHeight w:val="234"/>
        </w:trPr>
        <w:tc>
          <w:tcPr>
            <w:tcW w:w="1043" w:type="dxa"/>
          </w:tcPr>
          <w:p>
            <w:pPr>
              <w:pStyle w:val="GesAbsatz"/>
              <w:jc w:val="left"/>
            </w:pPr>
            <w:r>
              <w:t>1</w:t>
            </w:r>
          </w:p>
        </w:tc>
        <w:tc>
          <w:tcPr>
            <w:tcW w:w="6996" w:type="dxa"/>
          </w:tcPr>
          <w:p>
            <w:pPr>
              <w:pStyle w:val="GesAbsatz"/>
              <w:jc w:val="left"/>
            </w:pPr>
            <w:r>
              <w:t>2</w:t>
            </w:r>
          </w:p>
        </w:tc>
      </w:tr>
      <w:tr>
        <w:trPr>
          <w:trHeight w:val="199"/>
        </w:trPr>
        <w:tc>
          <w:tcPr>
            <w:tcW w:w="1043" w:type="dxa"/>
          </w:tcPr>
          <w:p>
            <w:pPr>
              <w:pStyle w:val="GesAbsatz"/>
              <w:jc w:val="left"/>
              <w:rPr>
                <w:rFonts w:cs="Arial"/>
              </w:rPr>
            </w:pPr>
            <w:r>
              <w:rPr>
                <w:rFonts w:cs="Arial"/>
              </w:rPr>
              <w:t>1</w:t>
            </w:r>
          </w:p>
        </w:tc>
        <w:tc>
          <w:tcPr>
            <w:tcW w:w="6996" w:type="dxa"/>
          </w:tcPr>
          <w:p>
            <w:pPr>
              <w:pStyle w:val="GesAbsatz"/>
              <w:jc w:val="left"/>
              <w:rPr>
                <w:rFonts w:cs="Arial"/>
              </w:rPr>
            </w:pPr>
            <w:r>
              <w:rPr>
                <w:rFonts w:cs="Arial"/>
              </w:rPr>
              <w:t>Acrylnitril</w:t>
            </w:r>
          </w:p>
        </w:tc>
      </w:tr>
      <w:tr>
        <w:tc>
          <w:tcPr>
            <w:tcW w:w="1043" w:type="dxa"/>
          </w:tcPr>
          <w:p>
            <w:pPr>
              <w:pStyle w:val="GesAbsatz"/>
              <w:jc w:val="left"/>
              <w:rPr>
                <w:rFonts w:cs="Arial"/>
              </w:rPr>
            </w:pPr>
            <w:r>
              <w:rPr>
                <w:rFonts w:cs="Arial"/>
              </w:rPr>
              <w:t>2</w:t>
            </w:r>
          </w:p>
        </w:tc>
        <w:tc>
          <w:tcPr>
            <w:tcW w:w="6996" w:type="dxa"/>
          </w:tcPr>
          <w:p>
            <w:pPr>
              <w:pStyle w:val="GesAbsatz"/>
              <w:jc w:val="left"/>
              <w:rPr>
                <w:rFonts w:cs="Arial"/>
              </w:rPr>
            </w:pPr>
            <w:r>
              <w:rPr>
                <w:rFonts w:cs="Arial"/>
              </w:rPr>
              <w:t>Aldrin</w:t>
            </w:r>
          </w:p>
        </w:tc>
      </w:tr>
      <w:tr>
        <w:tc>
          <w:tcPr>
            <w:tcW w:w="1043" w:type="dxa"/>
          </w:tcPr>
          <w:p>
            <w:pPr>
              <w:pStyle w:val="GesAbsatz"/>
              <w:jc w:val="left"/>
              <w:rPr>
                <w:rFonts w:cs="Arial"/>
              </w:rPr>
            </w:pPr>
            <w:r>
              <w:rPr>
                <w:rFonts w:cs="Arial"/>
              </w:rPr>
              <w:t>3</w:t>
            </w:r>
          </w:p>
        </w:tc>
        <w:tc>
          <w:tcPr>
            <w:tcW w:w="6996" w:type="dxa"/>
          </w:tcPr>
          <w:p>
            <w:pPr>
              <w:pStyle w:val="GesAbsatz"/>
              <w:jc w:val="left"/>
              <w:rPr>
                <w:rFonts w:cs="Arial"/>
              </w:rPr>
            </w:pPr>
            <w:r>
              <w:rPr>
                <w:rFonts w:cs="Arial"/>
              </w:rPr>
              <w:t>Aramit</w:t>
            </w:r>
          </w:p>
        </w:tc>
      </w:tr>
      <w:tr>
        <w:tc>
          <w:tcPr>
            <w:tcW w:w="1043" w:type="dxa"/>
          </w:tcPr>
          <w:p>
            <w:pPr>
              <w:pStyle w:val="GesAbsatz"/>
              <w:jc w:val="left"/>
              <w:rPr>
                <w:rFonts w:cs="Arial"/>
              </w:rPr>
            </w:pPr>
            <w:r>
              <w:rPr>
                <w:rFonts w:cs="Arial"/>
              </w:rPr>
              <w:t>4</w:t>
            </w:r>
          </w:p>
        </w:tc>
        <w:tc>
          <w:tcPr>
            <w:tcW w:w="6996" w:type="dxa"/>
          </w:tcPr>
          <w:p>
            <w:pPr>
              <w:pStyle w:val="GesAbsatz"/>
              <w:jc w:val="left"/>
              <w:rPr>
                <w:rFonts w:cs="Arial"/>
              </w:rPr>
            </w:pPr>
            <w:r>
              <w:rPr>
                <w:rFonts w:cs="Arial"/>
              </w:rPr>
              <w:t>Arsenverbindungen</w:t>
            </w:r>
          </w:p>
        </w:tc>
      </w:tr>
      <w:tr>
        <w:tc>
          <w:tcPr>
            <w:tcW w:w="1043" w:type="dxa"/>
          </w:tcPr>
          <w:p>
            <w:pPr>
              <w:pStyle w:val="GesAbsatz"/>
              <w:jc w:val="left"/>
              <w:rPr>
                <w:rFonts w:cs="Arial"/>
              </w:rPr>
            </w:pPr>
            <w:r>
              <w:rPr>
                <w:rFonts w:cs="Arial"/>
              </w:rPr>
              <w:t>5</w:t>
            </w:r>
          </w:p>
        </w:tc>
        <w:tc>
          <w:tcPr>
            <w:tcW w:w="6996" w:type="dxa"/>
          </w:tcPr>
          <w:p>
            <w:pPr>
              <w:pStyle w:val="GesAbsatz"/>
              <w:jc w:val="left"/>
              <w:rPr>
                <w:rFonts w:cs="Arial"/>
              </w:rPr>
            </w:pPr>
            <w:r>
              <w:rPr>
                <w:rFonts w:cs="Arial"/>
              </w:rPr>
              <w:t>Atrazin</w:t>
            </w:r>
          </w:p>
        </w:tc>
      </w:tr>
      <w:tr>
        <w:tc>
          <w:tcPr>
            <w:tcW w:w="1043" w:type="dxa"/>
          </w:tcPr>
          <w:p>
            <w:pPr>
              <w:pStyle w:val="GesAbsatz"/>
              <w:jc w:val="left"/>
              <w:rPr>
                <w:rFonts w:cs="Arial"/>
              </w:rPr>
            </w:pPr>
            <w:r>
              <w:rPr>
                <w:rFonts w:cs="Arial"/>
              </w:rPr>
              <w:t>6</w:t>
            </w:r>
          </w:p>
        </w:tc>
        <w:tc>
          <w:tcPr>
            <w:tcW w:w="6996" w:type="dxa"/>
          </w:tcPr>
          <w:p>
            <w:pPr>
              <w:pStyle w:val="GesAbsatz"/>
              <w:jc w:val="left"/>
              <w:rPr>
                <w:rFonts w:cs="Arial"/>
              </w:rPr>
            </w:pPr>
            <w:r>
              <w:rPr>
                <w:rFonts w:cs="Arial"/>
              </w:rPr>
              <w:t>Binapacryl</w:t>
            </w:r>
          </w:p>
        </w:tc>
      </w:tr>
      <w:tr>
        <w:tc>
          <w:tcPr>
            <w:tcW w:w="1043" w:type="dxa"/>
          </w:tcPr>
          <w:p>
            <w:pPr>
              <w:pStyle w:val="GesAbsatz"/>
              <w:jc w:val="left"/>
              <w:rPr>
                <w:rFonts w:cs="Arial"/>
              </w:rPr>
            </w:pPr>
            <w:r>
              <w:rPr>
                <w:rFonts w:cs="Arial"/>
              </w:rPr>
              <w:t>7</w:t>
            </w:r>
          </w:p>
        </w:tc>
        <w:tc>
          <w:tcPr>
            <w:tcW w:w="6996" w:type="dxa"/>
          </w:tcPr>
          <w:p>
            <w:pPr>
              <w:pStyle w:val="GesAbsatz"/>
              <w:jc w:val="left"/>
              <w:rPr>
                <w:rFonts w:cs="Arial"/>
              </w:rPr>
            </w:pPr>
            <w:r>
              <w:rPr>
                <w:rFonts w:cs="Arial"/>
              </w:rPr>
              <w:t>Bleiverbindungen</w:t>
            </w:r>
          </w:p>
        </w:tc>
      </w:tr>
      <w:tr>
        <w:tc>
          <w:tcPr>
            <w:tcW w:w="1043" w:type="dxa"/>
          </w:tcPr>
          <w:p>
            <w:pPr>
              <w:pStyle w:val="GesAbsatz"/>
              <w:jc w:val="left"/>
              <w:rPr>
                <w:rFonts w:cs="Arial"/>
              </w:rPr>
            </w:pPr>
            <w:r>
              <w:rPr>
                <w:rFonts w:cs="Arial"/>
              </w:rPr>
              <w:t>8</w:t>
            </w:r>
          </w:p>
        </w:tc>
        <w:tc>
          <w:tcPr>
            <w:tcW w:w="6996" w:type="dxa"/>
          </w:tcPr>
          <w:p>
            <w:pPr>
              <w:pStyle w:val="GesAbsatz"/>
              <w:jc w:val="left"/>
              <w:rPr>
                <w:rFonts w:cs="Arial"/>
              </w:rPr>
            </w:pPr>
            <w:r>
              <w:rPr>
                <w:rFonts w:cs="Arial"/>
              </w:rPr>
              <w:t>Bromacil</w:t>
            </w:r>
          </w:p>
        </w:tc>
      </w:tr>
      <w:tr>
        <w:tc>
          <w:tcPr>
            <w:tcW w:w="1043" w:type="dxa"/>
          </w:tcPr>
          <w:p>
            <w:pPr>
              <w:pStyle w:val="GesAbsatz"/>
              <w:jc w:val="left"/>
              <w:rPr>
                <w:rFonts w:cs="Arial"/>
              </w:rPr>
            </w:pPr>
            <w:r>
              <w:rPr>
                <w:rFonts w:cs="Arial"/>
              </w:rPr>
              <w:t>9</w:t>
            </w:r>
          </w:p>
        </w:tc>
        <w:tc>
          <w:tcPr>
            <w:tcW w:w="6996" w:type="dxa"/>
          </w:tcPr>
          <w:p>
            <w:pPr>
              <w:pStyle w:val="GesAbsatz"/>
              <w:jc w:val="left"/>
              <w:rPr>
                <w:rFonts w:cs="Arial"/>
              </w:rPr>
            </w:pPr>
            <w:r>
              <w:rPr>
                <w:rFonts w:cs="Arial"/>
              </w:rPr>
              <w:t>Cadmiumverbindungen</w:t>
            </w:r>
          </w:p>
        </w:tc>
      </w:tr>
      <w:tr>
        <w:tc>
          <w:tcPr>
            <w:tcW w:w="1043" w:type="dxa"/>
          </w:tcPr>
          <w:p>
            <w:pPr>
              <w:pStyle w:val="GesAbsatz"/>
              <w:jc w:val="left"/>
              <w:rPr>
                <w:rFonts w:cs="Arial"/>
              </w:rPr>
            </w:pPr>
            <w:r>
              <w:rPr>
                <w:rFonts w:cs="Arial"/>
              </w:rPr>
              <w:t>10</w:t>
            </w:r>
          </w:p>
        </w:tc>
        <w:tc>
          <w:tcPr>
            <w:tcW w:w="6996" w:type="dxa"/>
          </w:tcPr>
          <w:p>
            <w:pPr>
              <w:pStyle w:val="GesAbsatz"/>
              <w:jc w:val="left"/>
              <w:rPr>
                <w:rFonts w:cs="Arial"/>
              </w:rPr>
            </w:pPr>
            <w:r>
              <w:rPr>
                <w:rFonts w:cs="Arial"/>
              </w:rPr>
              <w:t>Captafol</w:t>
            </w:r>
          </w:p>
        </w:tc>
      </w:tr>
      <w:tr>
        <w:tc>
          <w:tcPr>
            <w:tcW w:w="1043" w:type="dxa"/>
          </w:tcPr>
          <w:p>
            <w:pPr>
              <w:pStyle w:val="GesAbsatz"/>
              <w:jc w:val="left"/>
              <w:rPr>
                <w:rFonts w:cs="Arial"/>
                <w:lang w:val="it-IT"/>
              </w:rPr>
            </w:pPr>
            <w:r>
              <w:rPr>
                <w:rFonts w:cs="Arial"/>
                <w:lang w:val="it-IT"/>
              </w:rPr>
              <w:t>11</w:t>
            </w:r>
          </w:p>
        </w:tc>
        <w:tc>
          <w:tcPr>
            <w:tcW w:w="6996" w:type="dxa"/>
          </w:tcPr>
          <w:p>
            <w:pPr>
              <w:pStyle w:val="GesAbsatz"/>
              <w:jc w:val="left"/>
              <w:rPr>
                <w:rFonts w:cs="Arial"/>
                <w:lang w:val="it-IT"/>
              </w:rPr>
            </w:pPr>
            <w:r>
              <w:rPr>
                <w:rFonts w:cs="Arial"/>
                <w:lang w:val="it-IT"/>
              </w:rPr>
              <w:t>Carbaryl</w:t>
            </w:r>
          </w:p>
        </w:tc>
      </w:tr>
      <w:tr>
        <w:tc>
          <w:tcPr>
            <w:tcW w:w="1043" w:type="dxa"/>
          </w:tcPr>
          <w:p>
            <w:pPr>
              <w:pStyle w:val="GesAbsatz"/>
              <w:jc w:val="left"/>
              <w:rPr>
                <w:rFonts w:cs="Arial"/>
              </w:rPr>
            </w:pPr>
            <w:r>
              <w:rPr>
                <w:rFonts w:cs="Arial"/>
              </w:rPr>
              <w:t>12</w:t>
            </w:r>
          </w:p>
        </w:tc>
        <w:tc>
          <w:tcPr>
            <w:tcW w:w="6996" w:type="dxa"/>
          </w:tcPr>
          <w:p>
            <w:pPr>
              <w:pStyle w:val="GesAbsatz"/>
              <w:jc w:val="left"/>
              <w:rPr>
                <w:rFonts w:cs="Arial"/>
              </w:rPr>
            </w:pPr>
            <w:r>
              <w:rPr>
                <w:rFonts w:cs="Arial"/>
              </w:rPr>
              <w:t>Chlordan</w:t>
            </w:r>
          </w:p>
        </w:tc>
      </w:tr>
      <w:tr>
        <w:tc>
          <w:tcPr>
            <w:tcW w:w="1043" w:type="dxa"/>
          </w:tcPr>
          <w:p>
            <w:pPr>
              <w:pStyle w:val="GesAbsatz"/>
              <w:jc w:val="left"/>
              <w:rPr>
                <w:rFonts w:cs="Arial"/>
              </w:rPr>
            </w:pPr>
            <w:r>
              <w:rPr>
                <w:rFonts w:cs="Arial"/>
              </w:rPr>
              <w:t>13</w:t>
            </w:r>
          </w:p>
        </w:tc>
        <w:tc>
          <w:tcPr>
            <w:tcW w:w="6996" w:type="dxa"/>
          </w:tcPr>
          <w:p>
            <w:pPr>
              <w:pStyle w:val="GesAbsatz"/>
              <w:jc w:val="left"/>
              <w:rPr>
                <w:rFonts w:cs="Arial"/>
              </w:rPr>
            </w:pPr>
            <w:r>
              <w:rPr>
                <w:rFonts w:cs="Arial"/>
              </w:rPr>
              <w:t>Chlordecone (Kepone)</w:t>
            </w:r>
          </w:p>
        </w:tc>
      </w:tr>
      <w:tr>
        <w:tc>
          <w:tcPr>
            <w:tcW w:w="1043" w:type="dxa"/>
          </w:tcPr>
          <w:p>
            <w:pPr>
              <w:pStyle w:val="GesAbsatz"/>
              <w:jc w:val="left"/>
              <w:rPr>
                <w:rFonts w:cs="Arial"/>
              </w:rPr>
            </w:pPr>
            <w:r>
              <w:rPr>
                <w:rFonts w:cs="Arial"/>
              </w:rPr>
              <w:t>14</w:t>
            </w:r>
          </w:p>
        </w:tc>
        <w:tc>
          <w:tcPr>
            <w:tcW w:w="6996" w:type="dxa"/>
          </w:tcPr>
          <w:p>
            <w:pPr>
              <w:pStyle w:val="GesAbsatz"/>
              <w:jc w:val="left"/>
              <w:rPr>
                <w:rFonts w:cs="Arial"/>
              </w:rPr>
            </w:pPr>
            <w:r>
              <w:rPr>
                <w:rFonts w:cs="Arial"/>
              </w:rPr>
              <w:t>Chlordimeform</w:t>
            </w:r>
          </w:p>
        </w:tc>
      </w:tr>
      <w:tr>
        <w:tc>
          <w:tcPr>
            <w:tcW w:w="1043" w:type="dxa"/>
          </w:tcPr>
          <w:p>
            <w:pPr>
              <w:pStyle w:val="GesAbsatz"/>
              <w:jc w:val="left"/>
              <w:rPr>
                <w:rFonts w:cs="Arial"/>
              </w:rPr>
            </w:pPr>
            <w:r>
              <w:rPr>
                <w:rFonts w:cs="Arial"/>
              </w:rPr>
              <w:t>15</w:t>
            </w:r>
          </w:p>
        </w:tc>
        <w:tc>
          <w:tcPr>
            <w:tcW w:w="6996" w:type="dxa"/>
          </w:tcPr>
          <w:p>
            <w:pPr>
              <w:pStyle w:val="GesAbsatz"/>
              <w:jc w:val="left"/>
              <w:rPr>
                <w:rFonts w:cs="Arial"/>
              </w:rPr>
            </w:pPr>
            <w:r>
              <w:rPr>
                <w:rFonts w:cs="Arial"/>
              </w:rPr>
              <w:t>Chloroform</w:t>
            </w:r>
          </w:p>
        </w:tc>
      </w:tr>
      <w:tr>
        <w:tc>
          <w:tcPr>
            <w:tcW w:w="1043" w:type="dxa"/>
          </w:tcPr>
          <w:p>
            <w:pPr>
              <w:pStyle w:val="GesAbsatz"/>
              <w:jc w:val="left"/>
              <w:rPr>
                <w:rFonts w:cs="Arial"/>
              </w:rPr>
            </w:pPr>
            <w:r>
              <w:rPr>
                <w:rFonts w:cs="Arial"/>
              </w:rPr>
              <w:t>16</w:t>
            </w:r>
          </w:p>
        </w:tc>
        <w:tc>
          <w:tcPr>
            <w:tcW w:w="6996" w:type="dxa"/>
          </w:tcPr>
          <w:p>
            <w:pPr>
              <w:pStyle w:val="GesAbsatz"/>
              <w:jc w:val="left"/>
              <w:rPr>
                <w:rFonts w:cs="Arial"/>
              </w:rPr>
            </w:pPr>
            <w:r>
              <w:rPr>
                <w:rFonts w:cs="Arial"/>
              </w:rPr>
              <w:t>Chlorpikrin</w:t>
            </w:r>
          </w:p>
        </w:tc>
      </w:tr>
      <w:tr>
        <w:tc>
          <w:tcPr>
            <w:tcW w:w="1043" w:type="dxa"/>
          </w:tcPr>
          <w:p>
            <w:pPr>
              <w:pStyle w:val="GesAbsatz"/>
              <w:jc w:val="left"/>
              <w:rPr>
                <w:rFonts w:cs="Arial"/>
              </w:rPr>
            </w:pPr>
            <w:r>
              <w:rPr>
                <w:rFonts w:cs="Arial"/>
              </w:rPr>
              <w:t>17</w:t>
            </w:r>
          </w:p>
        </w:tc>
        <w:tc>
          <w:tcPr>
            <w:tcW w:w="6996" w:type="dxa"/>
          </w:tcPr>
          <w:p>
            <w:pPr>
              <w:pStyle w:val="GesAbsatz"/>
              <w:jc w:val="left"/>
              <w:rPr>
                <w:rFonts w:cs="Arial"/>
              </w:rPr>
            </w:pPr>
            <w:r>
              <w:rPr>
                <w:rFonts w:cs="Arial"/>
              </w:rPr>
              <w:t>Crimidin</w:t>
            </w:r>
          </w:p>
        </w:tc>
      </w:tr>
      <w:tr>
        <w:tc>
          <w:tcPr>
            <w:tcW w:w="1043" w:type="dxa"/>
          </w:tcPr>
          <w:p>
            <w:pPr>
              <w:pStyle w:val="GesAbsatz"/>
              <w:jc w:val="left"/>
              <w:rPr>
                <w:rFonts w:cs="Arial"/>
              </w:rPr>
            </w:pPr>
            <w:r>
              <w:rPr>
                <w:rFonts w:cs="Arial"/>
              </w:rPr>
              <w:t>18</w:t>
            </w:r>
          </w:p>
        </w:tc>
        <w:tc>
          <w:tcPr>
            <w:tcW w:w="6996" w:type="dxa"/>
          </w:tcPr>
          <w:p>
            <w:pPr>
              <w:pStyle w:val="GesAbsatz"/>
              <w:jc w:val="left"/>
              <w:rPr>
                <w:rFonts w:cs="Arial"/>
              </w:rPr>
            </w:pPr>
            <w:r>
              <w:rPr>
                <w:rFonts w:cs="Arial"/>
              </w:rPr>
              <w:t>DDT (1,1,1-Trichlor-2,2-bis(4-chlorphenyl) -ethan und seine Isomeren)</w:t>
            </w:r>
          </w:p>
        </w:tc>
      </w:tr>
      <w:tr>
        <w:tc>
          <w:tcPr>
            <w:tcW w:w="1043" w:type="dxa"/>
          </w:tcPr>
          <w:p>
            <w:pPr>
              <w:pStyle w:val="GesAbsatz"/>
              <w:jc w:val="left"/>
              <w:rPr>
                <w:rFonts w:cs="Arial"/>
              </w:rPr>
            </w:pPr>
            <w:r>
              <w:rPr>
                <w:rFonts w:cs="Arial"/>
              </w:rPr>
              <w:t>19</w:t>
            </w:r>
          </w:p>
        </w:tc>
        <w:tc>
          <w:tcPr>
            <w:tcW w:w="6996" w:type="dxa"/>
          </w:tcPr>
          <w:p>
            <w:pPr>
              <w:pStyle w:val="GesAbsatz"/>
              <w:jc w:val="left"/>
              <w:rPr>
                <w:rFonts w:cs="Arial"/>
              </w:rPr>
            </w:pPr>
            <w:r>
              <w:rPr>
                <w:rFonts w:cs="Arial"/>
              </w:rPr>
              <w:t>1,2-Dibromethan</w:t>
            </w:r>
          </w:p>
        </w:tc>
      </w:tr>
      <w:tr>
        <w:tc>
          <w:tcPr>
            <w:tcW w:w="1043" w:type="dxa"/>
          </w:tcPr>
          <w:p>
            <w:pPr>
              <w:pStyle w:val="GesAbsatz"/>
              <w:jc w:val="left"/>
              <w:rPr>
                <w:rFonts w:cs="Arial"/>
              </w:rPr>
            </w:pPr>
            <w:r>
              <w:rPr>
                <w:rFonts w:cs="Arial"/>
              </w:rPr>
              <w:t>20</w:t>
            </w:r>
          </w:p>
        </w:tc>
        <w:tc>
          <w:tcPr>
            <w:tcW w:w="6996" w:type="dxa"/>
          </w:tcPr>
          <w:p>
            <w:pPr>
              <w:pStyle w:val="GesAbsatz"/>
              <w:jc w:val="left"/>
              <w:rPr>
                <w:rFonts w:cs="Arial"/>
              </w:rPr>
            </w:pPr>
            <w:r>
              <w:rPr>
                <w:rFonts w:cs="Arial"/>
              </w:rPr>
              <w:t>1,2-Dichlorethan</w:t>
            </w:r>
          </w:p>
        </w:tc>
      </w:tr>
      <w:tr>
        <w:tc>
          <w:tcPr>
            <w:tcW w:w="1043" w:type="dxa"/>
          </w:tcPr>
          <w:p>
            <w:pPr>
              <w:pStyle w:val="GesAbsatz"/>
              <w:jc w:val="left"/>
              <w:rPr>
                <w:rFonts w:cs="Arial"/>
              </w:rPr>
            </w:pPr>
            <w:r>
              <w:rPr>
                <w:rFonts w:cs="Arial"/>
              </w:rPr>
              <w:t>21</w:t>
            </w:r>
          </w:p>
        </w:tc>
        <w:tc>
          <w:tcPr>
            <w:tcW w:w="6996" w:type="dxa"/>
          </w:tcPr>
          <w:p>
            <w:pPr>
              <w:pStyle w:val="GesAbsatz"/>
              <w:jc w:val="left"/>
              <w:rPr>
                <w:rFonts w:cs="Arial"/>
              </w:rPr>
            </w:pPr>
            <w:r>
              <w:rPr>
                <w:rFonts w:cs="Arial"/>
              </w:rPr>
              <w:t>1,3-Dichlorpropen</w:t>
            </w:r>
          </w:p>
        </w:tc>
      </w:tr>
      <w:tr>
        <w:tc>
          <w:tcPr>
            <w:tcW w:w="1043" w:type="dxa"/>
          </w:tcPr>
          <w:p>
            <w:pPr>
              <w:pStyle w:val="GesAbsatz"/>
              <w:jc w:val="left"/>
              <w:rPr>
                <w:rFonts w:cs="Arial"/>
              </w:rPr>
            </w:pPr>
            <w:r>
              <w:rPr>
                <w:rFonts w:cs="Arial"/>
              </w:rPr>
              <w:t>22</w:t>
            </w:r>
          </w:p>
        </w:tc>
        <w:tc>
          <w:tcPr>
            <w:tcW w:w="6996" w:type="dxa"/>
          </w:tcPr>
          <w:p>
            <w:pPr>
              <w:pStyle w:val="GesAbsatz"/>
              <w:jc w:val="left"/>
              <w:rPr>
                <w:rFonts w:cs="Arial"/>
              </w:rPr>
            </w:pPr>
            <w:r>
              <w:rPr>
                <w:rFonts w:cs="Arial"/>
              </w:rPr>
              <w:t xml:space="preserve">Dicofol mit einem Gehalt von weniger als 780 g je kg </w:t>
            </w:r>
            <w:proofErr w:type="spellStart"/>
            <w:r>
              <w:rPr>
                <w:rFonts w:cs="Arial"/>
              </w:rPr>
              <w:t>p.p</w:t>
            </w:r>
            <w:proofErr w:type="spellEnd"/>
            <w:r>
              <w:rPr>
                <w:rFonts w:cs="Arial"/>
              </w:rPr>
              <w:t>'-Dicofol oder</w:t>
            </w:r>
            <w:r>
              <w:rPr>
                <w:rFonts w:cs="Arial"/>
              </w:rPr>
              <w:br/>
              <w:t>mehr als 1 g je kg DDT oder DDT-Verbindungen</w:t>
            </w:r>
          </w:p>
        </w:tc>
      </w:tr>
      <w:tr>
        <w:tc>
          <w:tcPr>
            <w:tcW w:w="1043" w:type="dxa"/>
          </w:tcPr>
          <w:p>
            <w:pPr>
              <w:pStyle w:val="GesAbsatz"/>
              <w:jc w:val="left"/>
              <w:rPr>
                <w:rFonts w:cs="Arial"/>
              </w:rPr>
            </w:pPr>
            <w:r>
              <w:rPr>
                <w:rFonts w:cs="Arial"/>
              </w:rPr>
              <w:t>23</w:t>
            </w:r>
          </w:p>
        </w:tc>
        <w:tc>
          <w:tcPr>
            <w:tcW w:w="6996" w:type="dxa"/>
          </w:tcPr>
          <w:p>
            <w:pPr>
              <w:pStyle w:val="GesAbsatz"/>
              <w:jc w:val="left"/>
              <w:rPr>
                <w:rFonts w:cs="Arial"/>
              </w:rPr>
            </w:pPr>
            <w:r>
              <w:rPr>
                <w:rFonts w:cs="Arial"/>
              </w:rPr>
              <w:t>Dieldrin</w:t>
            </w:r>
          </w:p>
        </w:tc>
      </w:tr>
      <w:tr>
        <w:tc>
          <w:tcPr>
            <w:tcW w:w="1043" w:type="dxa"/>
          </w:tcPr>
          <w:p>
            <w:pPr>
              <w:pStyle w:val="GesAbsatz"/>
              <w:jc w:val="left"/>
              <w:rPr>
                <w:rFonts w:cs="Arial"/>
              </w:rPr>
            </w:pPr>
            <w:r>
              <w:rPr>
                <w:rFonts w:cs="Arial"/>
              </w:rPr>
              <w:t>24</w:t>
            </w:r>
          </w:p>
        </w:tc>
        <w:tc>
          <w:tcPr>
            <w:tcW w:w="6996" w:type="dxa"/>
          </w:tcPr>
          <w:p>
            <w:pPr>
              <w:pStyle w:val="GesAbsatz"/>
              <w:jc w:val="left"/>
              <w:rPr>
                <w:rFonts w:cs="Arial"/>
              </w:rPr>
            </w:pPr>
            <w:r>
              <w:rPr>
                <w:rFonts w:cs="Arial"/>
              </w:rPr>
              <w:t>Dinoseb, seine Acetate und Salze</w:t>
            </w:r>
          </w:p>
        </w:tc>
      </w:tr>
      <w:tr>
        <w:tc>
          <w:tcPr>
            <w:tcW w:w="1043" w:type="dxa"/>
          </w:tcPr>
          <w:p>
            <w:pPr>
              <w:pStyle w:val="GesAbsatz"/>
              <w:jc w:val="left"/>
              <w:rPr>
                <w:rFonts w:cs="Arial"/>
              </w:rPr>
            </w:pPr>
            <w:r>
              <w:rPr>
                <w:rFonts w:cs="Arial"/>
              </w:rPr>
              <w:t>25</w:t>
            </w:r>
          </w:p>
        </w:tc>
        <w:tc>
          <w:tcPr>
            <w:tcW w:w="6996" w:type="dxa"/>
          </w:tcPr>
          <w:p>
            <w:pPr>
              <w:pStyle w:val="GesAbsatz"/>
              <w:jc w:val="left"/>
              <w:rPr>
                <w:rFonts w:cs="Arial"/>
              </w:rPr>
            </w:pPr>
            <w:r>
              <w:rPr>
                <w:rFonts w:cs="Arial"/>
              </w:rPr>
              <w:t>Endrin</w:t>
            </w:r>
          </w:p>
        </w:tc>
      </w:tr>
      <w:tr>
        <w:tc>
          <w:tcPr>
            <w:tcW w:w="1043" w:type="dxa"/>
          </w:tcPr>
          <w:p>
            <w:pPr>
              <w:pStyle w:val="GesAbsatz"/>
              <w:jc w:val="left"/>
              <w:rPr>
                <w:rFonts w:cs="Arial"/>
              </w:rPr>
            </w:pPr>
            <w:r>
              <w:rPr>
                <w:rFonts w:cs="Arial"/>
              </w:rPr>
              <w:t>26</w:t>
            </w:r>
          </w:p>
        </w:tc>
        <w:tc>
          <w:tcPr>
            <w:tcW w:w="6996" w:type="dxa"/>
          </w:tcPr>
          <w:p>
            <w:pPr>
              <w:pStyle w:val="GesAbsatz"/>
              <w:jc w:val="left"/>
              <w:rPr>
                <w:rFonts w:cs="Arial"/>
              </w:rPr>
            </w:pPr>
            <w:r>
              <w:rPr>
                <w:rFonts w:cs="Arial"/>
              </w:rPr>
              <w:t>Ethylenoxid</w:t>
            </w:r>
          </w:p>
        </w:tc>
      </w:tr>
      <w:tr>
        <w:tc>
          <w:tcPr>
            <w:tcW w:w="1043" w:type="dxa"/>
          </w:tcPr>
          <w:p>
            <w:pPr>
              <w:pStyle w:val="GesAbsatz"/>
              <w:jc w:val="left"/>
              <w:rPr>
                <w:rFonts w:cs="Arial"/>
              </w:rPr>
            </w:pPr>
            <w:r>
              <w:rPr>
                <w:rFonts w:cs="Arial"/>
              </w:rPr>
              <w:t>27</w:t>
            </w:r>
          </w:p>
        </w:tc>
        <w:tc>
          <w:tcPr>
            <w:tcW w:w="6996" w:type="dxa"/>
          </w:tcPr>
          <w:p>
            <w:pPr>
              <w:pStyle w:val="GesAbsatz"/>
              <w:jc w:val="left"/>
              <w:rPr>
                <w:rFonts w:cs="Arial"/>
              </w:rPr>
            </w:pPr>
            <w:r>
              <w:rPr>
                <w:rFonts w:cs="Arial"/>
              </w:rPr>
              <w:t>Fluoressigsäure und ihre Derivate</w:t>
            </w:r>
          </w:p>
        </w:tc>
      </w:tr>
      <w:tr>
        <w:tc>
          <w:tcPr>
            <w:tcW w:w="1043" w:type="dxa"/>
          </w:tcPr>
          <w:p>
            <w:pPr>
              <w:pStyle w:val="GesAbsatz"/>
              <w:jc w:val="left"/>
              <w:rPr>
                <w:rFonts w:cs="Arial"/>
              </w:rPr>
            </w:pPr>
            <w:r>
              <w:rPr>
                <w:rFonts w:cs="Arial"/>
              </w:rPr>
              <w:t>28</w:t>
            </w:r>
          </w:p>
        </w:tc>
        <w:tc>
          <w:tcPr>
            <w:tcW w:w="6996" w:type="dxa"/>
          </w:tcPr>
          <w:p>
            <w:pPr>
              <w:pStyle w:val="GesAbsatz"/>
              <w:jc w:val="left"/>
              <w:rPr>
                <w:rFonts w:cs="Arial"/>
              </w:rPr>
            </w:pPr>
            <w:r>
              <w:rPr>
                <w:rFonts w:cs="Arial"/>
              </w:rPr>
              <w:t>HCH, technisch</w:t>
            </w:r>
          </w:p>
        </w:tc>
      </w:tr>
      <w:tr>
        <w:tc>
          <w:tcPr>
            <w:tcW w:w="1043" w:type="dxa"/>
          </w:tcPr>
          <w:p>
            <w:pPr>
              <w:pStyle w:val="GesAbsatz"/>
              <w:jc w:val="left"/>
              <w:rPr>
                <w:rFonts w:cs="Arial"/>
              </w:rPr>
            </w:pPr>
            <w:r>
              <w:rPr>
                <w:rFonts w:cs="Arial"/>
              </w:rPr>
              <w:t>29</w:t>
            </w:r>
          </w:p>
        </w:tc>
        <w:tc>
          <w:tcPr>
            <w:tcW w:w="6996" w:type="dxa"/>
          </w:tcPr>
          <w:p>
            <w:pPr>
              <w:pStyle w:val="GesAbsatz"/>
              <w:jc w:val="left"/>
              <w:rPr>
                <w:rFonts w:cs="Arial"/>
              </w:rPr>
            </w:pPr>
            <w:r>
              <w:rPr>
                <w:rFonts w:cs="Arial"/>
              </w:rPr>
              <w:t>Heptachlor</w:t>
            </w:r>
          </w:p>
        </w:tc>
      </w:tr>
      <w:tr>
        <w:tc>
          <w:tcPr>
            <w:tcW w:w="1043" w:type="dxa"/>
          </w:tcPr>
          <w:p>
            <w:pPr>
              <w:pStyle w:val="GesAbsatz"/>
              <w:jc w:val="left"/>
              <w:rPr>
                <w:rFonts w:cs="Arial"/>
              </w:rPr>
            </w:pPr>
            <w:r>
              <w:rPr>
                <w:rFonts w:cs="Arial"/>
              </w:rPr>
              <w:t>30</w:t>
            </w:r>
          </w:p>
        </w:tc>
        <w:tc>
          <w:tcPr>
            <w:tcW w:w="6996" w:type="dxa"/>
          </w:tcPr>
          <w:p>
            <w:pPr>
              <w:pStyle w:val="GesAbsatz"/>
              <w:jc w:val="left"/>
              <w:rPr>
                <w:rFonts w:cs="Arial"/>
              </w:rPr>
            </w:pPr>
            <w:r>
              <w:rPr>
                <w:rFonts w:cs="Arial"/>
              </w:rPr>
              <w:t>Hexachlorbenzol</w:t>
            </w:r>
          </w:p>
        </w:tc>
      </w:tr>
      <w:tr>
        <w:tc>
          <w:tcPr>
            <w:tcW w:w="1043" w:type="dxa"/>
          </w:tcPr>
          <w:p>
            <w:pPr>
              <w:pStyle w:val="GesAbsatz"/>
              <w:jc w:val="left"/>
              <w:rPr>
                <w:rFonts w:cs="Arial"/>
              </w:rPr>
            </w:pPr>
            <w:r>
              <w:rPr>
                <w:rFonts w:cs="Arial"/>
              </w:rPr>
              <w:lastRenderedPageBreak/>
              <w:t>31</w:t>
            </w:r>
          </w:p>
        </w:tc>
        <w:tc>
          <w:tcPr>
            <w:tcW w:w="6996" w:type="dxa"/>
          </w:tcPr>
          <w:p>
            <w:pPr>
              <w:pStyle w:val="GesAbsatz"/>
              <w:jc w:val="left"/>
              <w:rPr>
                <w:rFonts w:cs="Arial"/>
              </w:rPr>
            </w:pPr>
            <w:r>
              <w:rPr>
                <w:rFonts w:cs="Arial"/>
              </w:rPr>
              <w:t>Isobenzan</w:t>
            </w:r>
          </w:p>
        </w:tc>
      </w:tr>
      <w:tr>
        <w:tc>
          <w:tcPr>
            <w:tcW w:w="1043" w:type="dxa"/>
          </w:tcPr>
          <w:p>
            <w:pPr>
              <w:pStyle w:val="GesAbsatz"/>
              <w:jc w:val="left"/>
              <w:rPr>
                <w:rFonts w:cs="Arial"/>
              </w:rPr>
            </w:pPr>
            <w:r>
              <w:rPr>
                <w:rFonts w:cs="Arial"/>
              </w:rPr>
              <w:t>32</w:t>
            </w:r>
          </w:p>
        </w:tc>
        <w:tc>
          <w:tcPr>
            <w:tcW w:w="6996" w:type="dxa"/>
          </w:tcPr>
          <w:p>
            <w:pPr>
              <w:pStyle w:val="GesAbsatz"/>
              <w:jc w:val="left"/>
              <w:rPr>
                <w:rFonts w:cs="Arial"/>
              </w:rPr>
            </w:pPr>
            <w:r>
              <w:rPr>
                <w:rFonts w:cs="Arial"/>
              </w:rPr>
              <w:t>Isodrin</w:t>
            </w:r>
          </w:p>
        </w:tc>
      </w:tr>
      <w:tr>
        <w:tc>
          <w:tcPr>
            <w:tcW w:w="1043" w:type="dxa"/>
          </w:tcPr>
          <w:p>
            <w:pPr>
              <w:pStyle w:val="GesAbsatz"/>
              <w:jc w:val="left"/>
              <w:rPr>
                <w:rFonts w:cs="Arial"/>
                <w:lang w:val="it-IT"/>
              </w:rPr>
            </w:pPr>
            <w:r>
              <w:rPr>
                <w:rFonts w:cs="Arial"/>
                <w:lang w:val="it-IT"/>
              </w:rPr>
              <w:t>33</w:t>
            </w:r>
          </w:p>
        </w:tc>
        <w:tc>
          <w:tcPr>
            <w:tcW w:w="6996" w:type="dxa"/>
          </w:tcPr>
          <w:p>
            <w:pPr>
              <w:pStyle w:val="GesAbsatz"/>
              <w:jc w:val="left"/>
              <w:rPr>
                <w:rFonts w:cs="Arial"/>
                <w:lang w:val="it-IT"/>
              </w:rPr>
            </w:pPr>
            <w:r>
              <w:rPr>
                <w:rFonts w:cs="Arial"/>
                <w:lang w:val="it-IT"/>
              </w:rPr>
              <w:t>Kelevan</w:t>
            </w:r>
          </w:p>
        </w:tc>
      </w:tr>
      <w:tr>
        <w:tc>
          <w:tcPr>
            <w:tcW w:w="1043" w:type="dxa"/>
          </w:tcPr>
          <w:p>
            <w:pPr>
              <w:pStyle w:val="GesAbsatz"/>
              <w:jc w:val="left"/>
              <w:rPr>
                <w:rFonts w:cs="Arial"/>
                <w:lang w:val="it-IT"/>
              </w:rPr>
            </w:pPr>
            <w:r>
              <w:rPr>
                <w:rFonts w:cs="Arial"/>
                <w:lang w:val="it-IT"/>
              </w:rPr>
              <w:t>34</w:t>
            </w:r>
          </w:p>
        </w:tc>
        <w:tc>
          <w:tcPr>
            <w:tcW w:w="6996" w:type="dxa"/>
          </w:tcPr>
          <w:p>
            <w:pPr>
              <w:pStyle w:val="GesAbsatz"/>
              <w:jc w:val="left"/>
              <w:rPr>
                <w:rFonts w:cs="Arial"/>
                <w:lang w:val="it-IT"/>
              </w:rPr>
            </w:pPr>
            <w:r>
              <w:rPr>
                <w:rFonts w:cs="Arial"/>
                <w:lang w:val="it-IT"/>
              </w:rPr>
              <w:t>Lindan</w:t>
            </w:r>
          </w:p>
        </w:tc>
      </w:tr>
      <w:tr>
        <w:tc>
          <w:tcPr>
            <w:tcW w:w="1043" w:type="dxa"/>
          </w:tcPr>
          <w:p>
            <w:pPr>
              <w:pStyle w:val="GesAbsatz"/>
              <w:jc w:val="left"/>
              <w:rPr>
                <w:rFonts w:cs="Arial"/>
              </w:rPr>
            </w:pPr>
            <w:r>
              <w:rPr>
                <w:rFonts w:cs="Arial"/>
              </w:rPr>
              <w:t>35</w:t>
            </w:r>
          </w:p>
        </w:tc>
        <w:tc>
          <w:tcPr>
            <w:tcW w:w="6996" w:type="dxa"/>
          </w:tcPr>
          <w:p>
            <w:pPr>
              <w:pStyle w:val="GesAbsatz"/>
              <w:jc w:val="left"/>
              <w:rPr>
                <w:rFonts w:cs="Arial"/>
              </w:rPr>
            </w:pPr>
            <w:r>
              <w:rPr>
                <w:rFonts w:cs="Arial"/>
              </w:rPr>
              <w:t>Maleinsäurehydrazid und seine Salze, andere als Cholin-, Kalium-</w:t>
            </w:r>
            <w:r>
              <w:rPr>
                <w:rFonts w:cs="Arial"/>
              </w:rPr>
              <w:br/>
              <w:t>und Natriumsalz</w:t>
            </w:r>
          </w:p>
        </w:tc>
      </w:tr>
      <w:tr>
        <w:tc>
          <w:tcPr>
            <w:tcW w:w="1043" w:type="dxa"/>
          </w:tcPr>
          <w:p>
            <w:pPr>
              <w:pStyle w:val="GesAbsatz"/>
              <w:jc w:val="left"/>
              <w:rPr>
                <w:rFonts w:cs="Arial"/>
              </w:rPr>
            </w:pPr>
            <w:r>
              <w:rPr>
                <w:rFonts w:cs="Arial"/>
              </w:rPr>
              <w:t>36</w:t>
            </w:r>
          </w:p>
        </w:tc>
        <w:tc>
          <w:tcPr>
            <w:tcW w:w="6996" w:type="dxa"/>
          </w:tcPr>
          <w:p>
            <w:pPr>
              <w:pStyle w:val="GesAbsatz"/>
              <w:jc w:val="left"/>
              <w:rPr>
                <w:rFonts w:cs="Arial"/>
              </w:rPr>
            </w:pPr>
            <w:r>
              <w:rPr>
                <w:rFonts w:cs="Arial"/>
              </w:rPr>
              <w:t>Maleinsäurehydrazid-Cholin-, -Kalium- und Natriumsalz mit einem Gehalt von mehr als 1 mg je kg freies Hydrazin, ausgedrückt als Säureäquivalent</w:t>
            </w:r>
          </w:p>
        </w:tc>
      </w:tr>
      <w:tr>
        <w:tc>
          <w:tcPr>
            <w:tcW w:w="1043" w:type="dxa"/>
          </w:tcPr>
          <w:p>
            <w:pPr>
              <w:pStyle w:val="GesAbsatz"/>
              <w:jc w:val="left"/>
              <w:rPr>
                <w:rFonts w:cs="Arial"/>
              </w:rPr>
            </w:pPr>
            <w:r>
              <w:rPr>
                <w:rFonts w:cs="Arial"/>
              </w:rPr>
              <w:t>37</w:t>
            </w:r>
          </w:p>
        </w:tc>
        <w:tc>
          <w:tcPr>
            <w:tcW w:w="6996" w:type="dxa"/>
          </w:tcPr>
          <w:p>
            <w:pPr>
              <w:pStyle w:val="GesAbsatz"/>
              <w:jc w:val="left"/>
              <w:rPr>
                <w:rFonts w:cs="Arial"/>
              </w:rPr>
            </w:pPr>
            <w:r>
              <w:rPr>
                <w:rFonts w:cs="Arial"/>
              </w:rPr>
              <w:t>Morfamquat</w:t>
            </w:r>
          </w:p>
        </w:tc>
      </w:tr>
      <w:tr>
        <w:tc>
          <w:tcPr>
            <w:tcW w:w="1043" w:type="dxa"/>
          </w:tcPr>
          <w:p>
            <w:pPr>
              <w:pStyle w:val="GesAbsatz"/>
              <w:jc w:val="left"/>
              <w:rPr>
                <w:rFonts w:cs="Arial"/>
              </w:rPr>
            </w:pPr>
            <w:r>
              <w:rPr>
                <w:rFonts w:cs="Arial"/>
              </w:rPr>
              <w:t>38</w:t>
            </w:r>
          </w:p>
        </w:tc>
        <w:tc>
          <w:tcPr>
            <w:tcW w:w="6996" w:type="dxa"/>
          </w:tcPr>
          <w:p>
            <w:pPr>
              <w:pStyle w:val="GesAbsatz"/>
              <w:jc w:val="left"/>
              <w:rPr>
                <w:rFonts w:cs="Arial"/>
              </w:rPr>
            </w:pPr>
            <w:r>
              <w:rPr>
                <w:rFonts w:cs="Arial"/>
              </w:rPr>
              <w:t>Nitrofen</w:t>
            </w:r>
          </w:p>
        </w:tc>
      </w:tr>
      <w:tr>
        <w:tc>
          <w:tcPr>
            <w:tcW w:w="1043" w:type="dxa"/>
          </w:tcPr>
          <w:p>
            <w:pPr>
              <w:pStyle w:val="GesAbsatz"/>
              <w:jc w:val="left"/>
              <w:rPr>
                <w:rFonts w:cs="Arial"/>
                <w:lang w:val="en-GB"/>
              </w:rPr>
            </w:pPr>
            <w:r>
              <w:rPr>
                <w:rFonts w:cs="Arial"/>
                <w:lang w:val="en-GB"/>
              </w:rPr>
              <w:t>39</w:t>
            </w:r>
          </w:p>
        </w:tc>
        <w:tc>
          <w:tcPr>
            <w:tcW w:w="6996" w:type="dxa"/>
          </w:tcPr>
          <w:p>
            <w:pPr>
              <w:pStyle w:val="GesAbsatz"/>
              <w:jc w:val="left"/>
              <w:rPr>
                <w:rFonts w:cs="Arial"/>
                <w:lang w:val="en-GB"/>
              </w:rPr>
            </w:pPr>
            <w:r>
              <w:rPr>
                <w:rFonts w:cs="Arial"/>
                <w:lang w:val="en-GB"/>
              </w:rPr>
              <w:t>Pentachlorphenol</w:t>
            </w:r>
          </w:p>
        </w:tc>
      </w:tr>
      <w:tr>
        <w:tc>
          <w:tcPr>
            <w:tcW w:w="1043" w:type="dxa"/>
          </w:tcPr>
          <w:p>
            <w:pPr>
              <w:pStyle w:val="GesAbsatz"/>
              <w:jc w:val="left"/>
              <w:rPr>
                <w:rFonts w:cs="Arial"/>
              </w:rPr>
            </w:pPr>
            <w:r>
              <w:rPr>
                <w:rFonts w:cs="Arial"/>
              </w:rPr>
              <w:t>40</w:t>
            </w:r>
          </w:p>
        </w:tc>
        <w:tc>
          <w:tcPr>
            <w:tcW w:w="6996" w:type="dxa"/>
          </w:tcPr>
          <w:p>
            <w:pPr>
              <w:pStyle w:val="GesAbsatz"/>
              <w:jc w:val="left"/>
              <w:rPr>
                <w:rFonts w:cs="Arial"/>
              </w:rPr>
            </w:pPr>
            <w:r>
              <w:rPr>
                <w:rFonts w:cs="Arial"/>
              </w:rPr>
              <w:t>Polychlorterpene</w:t>
            </w:r>
          </w:p>
        </w:tc>
      </w:tr>
      <w:tr>
        <w:tc>
          <w:tcPr>
            <w:tcW w:w="1043" w:type="dxa"/>
          </w:tcPr>
          <w:p>
            <w:pPr>
              <w:pStyle w:val="GesAbsatz"/>
              <w:jc w:val="left"/>
              <w:rPr>
                <w:rFonts w:cs="Arial"/>
              </w:rPr>
            </w:pPr>
            <w:r>
              <w:rPr>
                <w:rFonts w:cs="Arial"/>
              </w:rPr>
              <w:t>41</w:t>
            </w:r>
          </w:p>
        </w:tc>
        <w:tc>
          <w:tcPr>
            <w:tcW w:w="6996" w:type="dxa"/>
          </w:tcPr>
          <w:p>
            <w:pPr>
              <w:pStyle w:val="GesAbsatz"/>
              <w:jc w:val="left"/>
              <w:rPr>
                <w:rFonts w:cs="Arial"/>
              </w:rPr>
            </w:pPr>
            <w:r>
              <w:rPr>
                <w:rFonts w:cs="Arial"/>
              </w:rPr>
              <w:t>Quecksilberverbindungen</w:t>
            </w:r>
          </w:p>
        </w:tc>
      </w:tr>
      <w:tr>
        <w:tc>
          <w:tcPr>
            <w:tcW w:w="1043" w:type="dxa"/>
          </w:tcPr>
          <w:p>
            <w:pPr>
              <w:pStyle w:val="GesAbsatz"/>
              <w:jc w:val="left"/>
              <w:rPr>
                <w:rFonts w:cs="Arial"/>
              </w:rPr>
            </w:pPr>
            <w:r>
              <w:rPr>
                <w:rFonts w:cs="Arial"/>
              </w:rPr>
              <w:t>42</w:t>
            </w:r>
          </w:p>
        </w:tc>
        <w:tc>
          <w:tcPr>
            <w:tcW w:w="6996" w:type="dxa"/>
          </w:tcPr>
          <w:p>
            <w:pPr>
              <w:pStyle w:val="GesAbsatz"/>
              <w:jc w:val="left"/>
              <w:rPr>
                <w:rFonts w:cs="Arial"/>
              </w:rPr>
            </w:pPr>
            <w:r>
              <w:rPr>
                <w:rFonts w:cs="Arial"/>
              </w:rPr>
              <w:t>Quintozen</w:t>
            </w:r>
          </w:p>
        </w:tc>
      </w:tr>
      <w:tr>
        <w:tc>
          <w:tcPr>
            <w:tcW w:w="1043" w:type="dxa"/>
          </w:tcPr>
          <w:p>
            <w:pPr>
              <w:pStyle w:val="GesAbsatz"/>
              <w:jc w:val="left"/>
              <w:rPr>
                <w:rFonts w:cs="Arial"/>
              </w:rPr>
            </w:pPr>
            <w:r>
              <w:rPr>
                <w:rFonts w:cs="Arial"/>
              </w:rPr>
              <w:t>43</w:t>
            </w:r>
          </w:p>
        </w:tc>
        <w:tc>
          <w:tcPr>
            <w:tcW w:w="6996" w:type="dxa"/>
          </w:tcPr>
          <w:p>
            <w:pPr>
              <w:pStyle w:val="GesAbsatz"/>
              <w:jc w:val="left"/>
              <w:rPr>
                <w:rFonts w:cs="Arial"/>
              </w:rPr>
            </w:pPr>
            <w:r>
              <w:rPr>
                <w:rFonts w:cs="Arial"/>
              </w:rPr>
              <w:t>Selenverbindungen</w:t>
            </w:r>
          </w:p>
        </w:tc>
      </w:tr>
      <w:tr>
        <w:tc>
          <w:tcPr>
            <w:tcW w:w="1043" w:type="dxa"/>
          </w:tcPr>
          <w:p>
            <w:pPr>
              <w:pStyle w:val="GesAbsatz"/>
              <w:jc w:val="left"/>
              <w:rPr>
                <w:rFonts w:cs="Arial"/>
              </w:rPr>
            </w:pPr>
            <w:r>
              <w:rPr>
                <w:rFonts w:cs="Arial"/>
              </w:rPr>
              <w:t>44</w:t>
            </w:r>
          </w:p>
        </w:tc>
        <w:tc>
          <w:tcPr>
            <w:tcW w:w="6996" w:type="dxa"/>
          </w:tcPr>
          <w:p>
            <w:pPr>
              <w:pStyle w:val="GesAbsatz"/>
              <w:jc w:val="left"/>
              <w:rPr>
                <w:rFonts w:cs="Arial"/>
              </w:rPr>
            </w:pPr>
            <w:r>
              <w:rPr>
                <w:rFonts w:cs="Arial"/>
              </w:rPr>
              <w:t>2,4,5-T</w:t>
            </w:r>
          </w:p>
        </w:tc>
      </w:tr>
      <w:tr>
        <w:tc>
          <w:tcPr>
            <w:tcW w:w="1043" w:type="dxa"/>
          </w:tcPr>
          <w:p>
            <w:pPr>
              <w:pStyle w:val="GesAbsatz"/>
              <w:jc w:val="left"/>
              <w:rPr>
                <w:rFonts w:cs="Arial"/>
              </w:rPr>
            </w:pPr>
            <w:r>
              <w:rPr>
                <w:rFonts w:cs="Arial"/>
              </w:rPr>
              <w:t>45</w:t>
            </w:r>
          </w:p>
        </w:tc>
        <w:tc>
          <w:tcPr>
            <w:tcW w:w="6996" w:type="dxa"/>
          </w:tcPr>
          <w:p>
            <w:pPr>
              <w:pStyle w:val="GesAbsatz"/>
              <w:jc w:val="left"/>
              <w:rPr>
                <w:rFonts w:cs="Arial"/>
              </w:rPr>
            </w:pPr>
            <w:r>
              <w:rPr>
                <w:rFonts w:cs="Arial"/>
              </w:rPr>
              <w:t>Tetrachlorkohlenstoff</w:t>
            </w:r>
          </w:p>
        </w:tc>
      </w:tr>
    </w:tbl>
    <w:p>
      <w:pPr>
        <w:tabs>
          <w:tab w:val="right" w:pos="3651"/>
        </w:tabs>
        <w:ind w:right="749"/>
      </w:pPr>
    </w:p>
    <w:p>
      <w:pPr>
        <w:tabs>
          <w:tab w:val="right" w:pos="3651"/>
        </w:tabs>
        <w:ind w:right="749"/>
      </w:pPr>
    </w:p>
    <w:p>
      <w:pPr>
        <w:pStyle w:val="berschrift2"/>
        <w:jc w:val="left"/>
      </w:pPr>
      <w:bookmarkStart w:id="14" w:name="_Toc193196132"/>
      <w:r>
        <w:t>Anlage 2 (zu den §§ 2, 4 und 5 Abs. 2)</w:t>
      </w:r>
      <w:bookmarkEnd w:id="14"/>
    </w:p>
    <w:p>
      <w:pPr>
        <w:pStyle w:val="GesAbsatz"/>
      </w:pPr>
    </w:p>
    <w:p>
      <w:pPr>
        <w:pStyle w:val="GesAbsatz"/>
        <w:jc w:val="center"/>
        <w:rPr>
          <w:b/>
        </w:rPr>
      </w:pPr>
      <w:r>
        <w:rPr>
          <w:b/>
        </w:rPr>
        <w:t>Eingeschränktes Anwendungsverbot</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050"/>
        <w:gridCol w:w="2919"/>
        <w:gridCol w:w="5586"/>
      </w:tblGrid>
      <w:tr>
        <w:trPr>
          <w:trHeight w:val="143"/>
        </w:trPr>
        <w:tc>
          <w:tcPr>
            <w:tcW w:w="1050" w:type="dxa"/>
          </w:tcPr>
          <w:p>
            <w:pPr>
              <w:pStyle w:val="GesAbsatz"/>
              <w:jc w:val="left"/>
              <w:rPr>
                <w:b/>
              </w:rPr>
            </w:pPr>
            <w:r>
              <w:rPr>
                <w:b/>
              </w:rPr>
              <w:t>Nummer</w:t>
            </w:r>
          </w:p>
        </w:tc>
        <w:tc>
          <w:tcPr>
            <w:tcW w:w="2919" w:type="dxa"/>
          </w:tcPr>
          <w:p>
            <w:pPr>
              <w:pStyle w:val="GesAbsatz"/>
              <w:jc w:val="left"/>
              <w:rPr>
                <w:b/>
              </w:rPr>
            </w:pPr>
            <w:r>
              <w:rPr>
                <w:b/>
              </w:rPr>
              <w:t>Stoff</w:t>
            </w:r>
          </w:p>
        </w:tc>
        <w:tc>
          <w:tcPr>
            <w:tcW w:w="5586" w:type="dxa"/>
          </w:tcPr>
          <w:p>
            <w:pPr>
              <w:pStyle w:val="GesAbsatz"/>
              <w:jc w:val="left"/>
              <w:rPr>
                <w:b/>
              </w:rPr>
            </w:pPr>
            <w:r>
              <w:rPr>
                <w:b/>
              </w:rPr>
              <w:t>Anwendung nur zulässig</w:t>
            </w:r>
          </w:p>
        </w:tc>
      </w:tr>
      <w:tr>
        <w:tc>
          <w:tcPr>
            <w:tcW w:w="1050" w:type="dxa"/>
          </w:tcPr>
          <w:p>
            <w:pPr>
              <w:pStyle w:val="GesAbsatz"/>
              <w:jc w:val="left"/>
            </w:pPr>
            <w:r>
              <w:t>1</w:t>
            </w:r>
          </w:p>
        </w:tc>
        <w:tc>
          <w:tcPr>
            <w:tcW w:w="2919" w:type="dxa"/>
          </w:tcPr>
          <w:p>
            <w:pPr>
              <w:pStyle w:val="GesAbsatz"/>
              <w:jc w:val="left"/>
            </w:pPr>
            <w:r>
              <w:t>2</w:t>
            </w:r>
          </w:p>
        </w:tc>
        <w:tc>
          <w:tcPr>
            <w:tcW w:w="5586" w:type="dxa"/>
          </w:tcPr>
          <w:p>
            <w:pPr>
              <w:pStyle w:val="GesAbsatz"/>
              <w:jc w:val="left"/>
            </w:pPr>
            <w:r>
              <w:t>3</w:t>
            </w:r>
          </w:p>
        </w:tc>
      </w:tr>
      <w:tr>
        <w:trPr>
          <w:trHeight w:val="1758"/>
        </w:trPr>
        <w:tc>
          <w:tcPr>
            <w:tcW w:w="1050" w:type="dxa"/>
          </w:tcPr>
          <w:p>
            <w:pPr>
              <w:pStyle w:val="GesAbsatz"/>
              <w:rPr>
                <w:szCs w:val="18"/>
              </w:rPr>
            </w:pPr>
            <w:r>
              <w:rPr>
                <w:szCs w:val="18"/>
              </w:rPr>
              <w:t>1</w:t>
            </w:r>
          </w:p>
        </w:tc>
        <w:tc>
          <w:tcPr>
            <w:tcW w:w="2919" w:type="dxa"/>
          </w:tcPr>
          <w:p>
            <w:pPr>
              <w:pStyle w:val="GesAbsatz"/>
              <w:rPr>
                <w:szCs w:val="18"/>
              </w:rPr>
            </w:pPr>
            <w:r>
              <w:rPr>
                <w:szCs w:val="18"/>
              </w:rPr>
              <w:t>Blausäure und Blausäure entwickelnde Verbindungen</w:t>
            </w:r>
          </w:p>
        </w:tc>
        <w:tc>
          <w:tcPr>
            <w:tcW w:w="5586" w:type="dxa"/>
          </w:tcPr>
          <w:p>
            <w:pPr>
              <w:pStyle w:val="GesAbsatz"/>
              <w:rPr>
                <w:szCs w:val="18"/>
              </w:rPr>
            </w:pPr>
            <w:r>
              <w:rPr>
                <w:szCs w:val="18"/>
              </w:rPr>
              <w:t>zur Begasung</w:t>
            </w:r>
          </w:p>
          <w:p>
            <w:pPr>
              <w:pStyle w:val="GesAbsatz"/>
              <w:tabs>
                <w:tab w:val="clear" w:pos="425"/>
                <w:tab w:val="left" w:pos="369"/>
              </w:tabs>
              <w:ind w:left="369" w:hanging="369"/>
              <w:rPr>
                <w:szCs w:val="18"/>
              </w:rPr>
            </w:pPr>
            <w:r>
              <w:rPr>
                <w:szCs w:val="18"/>
              </w:rPr>
              <w:t>1.</w:t>
            </w:r>
            <w:r>
              <w:rPr>
                <w:szCs w:val="18"/>
              </w:rPr>
              <w:tab/>
              <w:t>in Mühlen und Lagerräumen, in Vorratsräumen und anderen Räumen in Lebensmittelbetrieben und in Transportmitteln und -behältern gegen Vorratsschädlinge;</w:t>
            </w:r>
          </w:p>
          <w:p>
            <w:pPr>
              <w:pStyle w:val="GesAbsatz"/>
              <w:tabs>
                <w:tab w:val="clear" w:pos="425"/>
                <w:tab w:val="left" w:pos="369"/>
              </w:tabs>
              <w:ind w:left="369" w:hanging="369"/>
              <w:rPr>
                <w:szCs w:val="18"/>
              </w:rPr>
            </w:pPr>
            <w:r>
              <w:rPr>
                <w:szCs w:val="18"/>
              </w:rPr>
              <w:t>2.</w:t>
            </w:r>
            <w:r>
              <w:rPr>
                <w:szCs w:val="18"/>
              </w:rPr>
              <w:tab/>
              <w:t>von Pflanzen in Vegetationsruhe;</w:t>
            </w:r>
          </w:p>
          <w:p>
            <w:pPr>
              <w:pStyle w:val="GesAbsatz"/>
              <w:tabs>
                <w:tab w:val="clear" w:pos="425"/>
                <w:tab w:val="left" w:pos="369"/>
              </w:tabs>
              <w:ind w:left="369" w:hanging="369"/>
              <w:rPr>
                <w:szCs w:val="18"/>
              </w:rPr>
            </w:pPr>
            <w:r>
              <w:rPr>
                <w:szCs w:val="18"/>
              </w:rPr>
              <w:t>3.</w:t>
            </w:r>
            <w:r>
              <w:rPr>
                <w:szCs w:val="18"/>
              </w:rPr>
              <w:tab/>
              <w:t>in Gewächshäusern.</w:t>
            </w:r>
          </w:p>
        </w:tc>
      </w:tr>
      <w:tr>
        <w:trPr>
          <w:trHeight w:val="2116"/>
        </w:trPr>
        <w:tc>
          <w:tcPr>
            <w:tcW w:w="1050" w:type="dxa"/>
          </w:tcPr>
          <w:p>
            <w:pPr>
              <w:pStyle w:val="GesAbsatz"/>
              <w:rPr>
                <w:szCs w:val="18"/>
              </w:rPr>
            </w:pPr>
            <w:r>
              <w:rPr>
                <w:szCs w:val="18"/>
              </w:rPr>
              <w:t>2</w:t>
            </w:r>
          </w:p>
        </w:tc>
        <w:tc>
          <w:tcPr>
            <w:tcW w:w="2919" w:type="dxa"/>
          </w:tcPr>
          <w:p>
            <w:pPr>
              <w:pStyle w:val="GesAbsatz"/>
              <w:rPr>
                <w:szCs w:val="18"/>
              </w:rPr>
            </w:pPr>
            <w:r>
              <w:t>Deiquat</w:t>
            </w:r>
          </w:p>
        </w:tc>
        <w:tc>
          <w:tcPr>
            <w:tcW w:w="5586" w:type="dxa"/>
          </w:tcPr>
          <w:p>
            <w:pPr>
              <w:pStyle w:val="GesAbsatz"/>
              <w:tabs>
                <w:tab w:val="clear" w:pos="425"/>
                <w:tab w:val="left" w:pos="369"/>
              </w:tabs>
              <w:rPr>
                <w:szCs w:val="18"/>
              </w:rPr>
            </w:pPr>
            <w:r>
              <w:rPr>
                <w:szCs w:val="18"/>
              </w:rPr>
              <w:t>1.</w:t>
            </w:r>
            <w:r>
              <w:rPr>
                <w:szCs w:val="18"/>
              </w:rPr>
              <w:tab/>
              <w:t>zur Krautabtötung bei Kartoffeln;</w:t>
            </w:r>
          </w:p>
          <w:p>
            <w:pPr>
              <w:pStyle w:val="GesAbsatz"/>
              <w:tabs>
                <w:tab w:val="clear" w:pos="425"/>
                <w:tab w:val="left" w:pos="369"/>
              </w:tabs>
              <w:rPr>
                <w:szCs w:val="18"/>
              </w:rPr>
            </w:pPr>
            <w:r>
              <w:rPr>
                <w:szCs w:val="18"/>
              </w:rPr>
              <w:t>2.</w:t>
            </w:r>
            <w:r>
              <w:rPr>
                <w:szCs w:val="18"/>
              </w:rPr>
              <w:tab/>
              <w:t>zur Abreifebeschleunigung</w:t>
            </w:r>
          </w:p>
          <w:p>
            <w:pPr>
              <w:pStyle w:val="GesAbsatz"/>
              <w:tabs>
                <w:tab w:val="clear" w:pos="425"/>
                <w:tab w:val="left" w:pos="653"/>
              </w:tabs>
              <w:ind w:left="653" w:hanging="284"/>
              <w:rPr>
                <w:szCs w:val="18"/>
              </w:rPr>
            </w:pPr>
            <w:r>
              <w:rPr>
                <w:szCs w:val="18"/>
              </w:rPr>
              <w:t>a</w:t>
            </w:r>
            <w:r>
              <w:rPr>
                <w:sz w:val="22"/>
                <w:szCs w:val="18"/>
              </w:rPr>
              <w:t>)</w:t>
            </w:r>
            <w:r>
              <w:rPr>
                <w:sz w:val="22"/>
                <w:szCs w:val="18"/>
              </w:rPr>
              <w:tab/>
            </w:r>
            <w:r>
              <w:rPr>
                <w:szCs w:val="18"/>
              </w:rPr>
              <w:t>bei Raps, Ackerbohnen und Futtererbsen;</w:t>
            </w:r>
          </w:p>
          <w:p>
            <w:pPr>
              <w:pStyle w:val="GesAbsatz"/>
              <w:tabs>
                <w:tab w:val="clear" w:pos="425"/>
                <w:tab w:val="left" w:pos="653"/>
              </w:tabs>
              <w:ind w:left="653" w:hanging="284"/>
              <w:rPr>
                <w:szCs w:val="18"/>
              </w:rPr>
            </w:pPr>
            <w:r>
              <w:rPr>
                <w:szCs w:val="18"/>
              </w:rPr>
              <w:t>b)</w:t>
            </w:r>
            <w:r>
              <w:rPr>
                <w:szCs w:val="18"/>
              </w:rPr>
              <w:tab/>
              <w:t>bei Leguminosen, Ölrettich, Lein und Phacelia, deren Samen zur Saatguterzeugung bestimmt sind;</w:t>
            </w:r>
          </w:p>
          <w:p>
            <w:pPr>
              <w:pStyle w:val="GesAbsatz"/>
              <w:tabs>
                <w:tab w:val="clear" w:pos="425"/>
                <w:tab w:val="left" w:pos="369"/>
              </w:tabs>
              <w:ind w:left="369" w:hanging="369"/>
              <w:rPr>
                <w:szCs w:val="18"/>
              </w:rPr>
            </w:pPr>
            <w:r>
              <w:rPr>
                <w:szCs w:val="18"/>
              </w:rPr>
              <w:t>3.</w:t>
            </w:r>
            <w:r>
              <w:rPr>
                <w:szCs w:val="18"/>
              </w:rPr>
              <w:tab/>
              <w:t>zum Hopfenputzen, auch mit gleichzeitiger Unkrautbekämpfung; in der Zeit vom 1. Juli bis 31. August</w:t>
            </w:r>
          </w:p>
        </w:tc>
      </w:tr>
      <w:tr>
        <w:trPr>
          <w:trHeight w:val="274"/>
        </w:trPr>
        <w:tc>
          <w:tcPr>
            <w:tcW w:w="1050" w:type="dxa"/>
          </w:tcPr>
          <w:p>
            <w:pPr>
              <w:pStyle w:val="GesAbsatz"/>
              <w:rPr>
                <w:szCs w:val="18"/>
              </w:rPr>
            </w:pPr>
            <w:r>
              <w:rPr>
                <w:szCs w:val="18"/>
              </w:rPr>
              <w:t>3</w:t>
            </w:r>
          </w:p>
        </w:tc>
        <w:tc>
          <w:tcPr>
            <w:tcW w:w="2919" w:type="dxa"/>
          </w:tcPr>
          <w:p>
            <w:pPr>
              <w:pStyle w:val="GesAbsatz"/>
              <w:rPr>
                <w:szCs w:val="18"/>
              </w:rPr>
            </w:pPr>
            <w:r>
              <w:rPr>
                <w:szCs w:val="18"/>
              </w:rPr>
              <w:t>Methylbromid</w:t>
            </w:r>
            <w:r>
              <w:rPr>
                <w:szCs w:val="18"/>
              </w:rPr>
              <w:br/>
              <w:t>(Monobrommethan)</w:t>
            </w:r>
          </w:p>
        </w:tc>
        <w:tc>
          <w:tcPr>
            <w:tcW w:w="5586" w:type="dxa"/>
          </w:tcPr>
          <w:p>
            <w:pPr>
              <w:pStyle w:val="GesAbsatz"/>
              <w:tabs>
                <w:tab w:val="clear" w:pos="425"/>
                <w:tab w:val="left" w:pos="369"/>
              </w:tabs>
              <w:ind w:left="369" w:hanging="369"/>
              <w:jc w:val="left"/>
              <w:rPr>
                <w:szCs w:val="18"/>
              </w:rPr>
            </w:pPr>
            <w:r>
              <w:rPr>
                <w:szCs w:val="18"/>
              </w:rPr>
              <w:t>1.</w:t>
            </w:r>
            <w:r>
              <w:rPr>
                <w:szCs w:val="18"/>
              </w:rPr>
              <w:tab/>
              <w:t xml:space="preserve">zur Begasung in Mühlen, in Lagerräumen, in Vorratsräumen und anderen Räumen in Lebensmittelbetrieben, in </w:t>
            </w:r>
            <w:r>
              <w:rPr>
                <w:szCs w:val="18"/>
              </w:rPr>
              <w:lastRenderedPageBreak/>
              <w:t>Vakuumkammern, in gasdichten Kleinsilos, in Transportmitteln und -behältern und unter gasdichten Planen gegen Vorratsschädlinge;</w:t>
            </w:r>
          </w:p>
          <w:p>
            <w:pPr>
              <w:pStyle w:val="GesAbsatz"/>
              <w:tabs>
                <w:tab w:val="clear" w:pos="425"/>
                <w:tab w:val="left" w:pos="369"/>
              </w:tabs>
              <w:ind w:left="369" w:hanging="369"/>
              <w:jc w:val="left"/>
              <w:rPr>
                <w:szCs w:val="18"/>
              </w:rPr>
            </w:pPr>
            <w:r>
              <w:rPr>
                <w:szCs w:val="18"/>
              </w:rPr>
              <w:t>2.</w:t>
            </w:r>
            <w:r>
              <w:rPr>
                <w:szCs w:val="18"/>
              </w:rPr>
              <w:tab/>
              <w:t>zur Bodenbehandlung außerhalb von Wasserschutzgebieten und Heilquellenschutzgebieten im Zierpflanzenbau, in Baumschulen, in Rebschulen und bei der Erzeugung von Pflanzkartoffeln in Zuchtgärten.</w:t>
            </w:r>
          </w:p>
        </w:tc>
      </w:tr>
      <w:tr>
        <w:tc>
          <w:tcPr>
            <w:tcW w:w="1050" w:type="dxa"/>
          </w:tcPr>
          <w:p>
            <w:pPr>
              <w:pStyle w:val="GesAbsatz"/>
              <w:rPr>
                <w:szCs w:val="18"/>
              </w:rPr>
            </w:pPr>
            <w:r>
              <w:rPr>
                <w:szCs w:val="18"/>
              </w:rPr>
              <w:lastRenderedPageBreak/>
              <w:t>4</w:t>
            </w:r>
          </w:p>
        </w:tc>
        <w:tc>
          <w:tcPr>
            <w:tcW w:w="2919" w:type="dxa"/>
          </w:tcPr>
          <w:p>
            <w:pPr>
              <w:pStyle w:val="GesAbsatz"/>
              <w:rPr>
                <w:szCs w:val="18"/>
              </w:rPr>
            </w:pPr>
            <w:r>
              <w:t>Paraquat</w:t>
            </w:r>
          </w:p>
        </w:tc>
        <w:tc>
          <w:tcPr>
            <w:tcW w:w="5586" w:type="dxa"/>
          </w:tcPr>
          <w:p>
            <w:pPr>
              <w:pStyle w:val="GesAbsatz"/>
              <w:rPr>
                <w:szCs w:val="18"/>
              </w:rPr>
            </w:pPr>
            <w:r>
              <w:rPr>
                <w:szCs w:val="18"/>
              </w:rPr>
              <w:t>1.</w:t>
            </w:r>
            <w:r>
              <w:rPr>
                <w:szCs w:val="18"/>
              </w:rPr>
              <w:tab/>
              <w:t>zur Behandlung</w:t>
            </w:r>
          </w:p>
          <w:p>
            <w:pPr>
              <w:pStyle w:val="GesAbsatz"/>
              <w:tabs>
                <w:tab w:val="clear" w:pos="425"/>
                <w:tab w:val="left" w:pos="653"/>
              </w:tabs>
              <w:ind w:left="653" w:hanging="284"/>
              <w:rPr>
                <w:szCs w:val="18"/>
              </w:rPr>
            </w:pPr>
            <w:r>
              <w:rPr>
                <w:szCs w:val="18"/>
              </w:rPr>
              <w:t>a)</w:t>
            </w:r>
            <w:r>
              <w:rPr>
                <w:szCs w:val="18"/>
              </w:rPr>
              <w:tab/>
              <w:t>gegen Unkräuter und Deckfrüchte im Mais- und Zuckerrübenbau vor der Saat oder vor dem Auflaufen; auf derselben Fläche jedes vierte Jahr;</w:t>
            </w:r>
          </w:p>
          <w:p>
            <w:pPr>
              <w:pStyle w:val="GesAbsatz"/>
              <w:tabs>
                <w:tab w:val="clear" w:pos="425"/>
                <w:tab w:val="left" w:pos="653"/>
              </w:tabs>
              <w:ind w:left="653" w:hanging="284"/>
              <w:rPr>
                <w:szCs w:val="18"/>
              </w:rPr>
            </w:pPr>
            <w:r>
              <w:rPr>
                <w:szCs w:val="18"/>
              </w:rPr>
              <w:t>b)</w:t>
            </w:r>
            <w:r>
              <w:rPr>
                <w:szCs w:val="18"/>
              </w:rPr>
              <w:tab/>
              <w:t>gegen Unkräuter in Baumschul-Saatbeeten; auf derselben Fläche jedes vierte Jahr;</w:t>
            </w:r>
          </w:p>
          <w:p>
            <w:pPr>
              <w:pStyle w:val="GesAbsatz"/>
              <w:tabs>
                <w:tab w:val="clear" w:pos="425"/>
                <w:tab w:val="left" w:pos="653"/>
              </w:tabs>
              <w:ind w:left="653" w:hanging="284"/>
              <w:rPr>
                <w:szCs w:val="18"/>
              </w:rPr>
            </w:pPr>
            <w:r>
              <w:rPr>
                <w:szCs w:val="18"/>
              </w:rPr>
              <w:t>c)</w:t>
            </w:r>
            <w:r>
              <w:rPr>
                <w:szCs w:val="18"/>
              </w:rPr>
              <w:tab/>
              <w:t>gegen Unkräuter im Weinbau im Pflanzjahr und bis zum dritten Standjahr der Reben;</w:t>
            </w:r>
          </w:p>
          <w:p>
            <w:pPr>
              <w:pStyle w:val="GesAbsatz"/>
              <w:tabs>
                <w:tab w:val="clear" w:pos="425"/>
                <w:tab w:val="left" w:pos="369"/>
              </w:tabs>
              <w:ind w:left="369" w:hanging="369"/>
              <w:rPr>
                <w:szCs w:val="18"/>
              </w:rPr>
            </w:pPr>
            <w:r>
              <w:rPr>
                <w:szCs w:val="18"/>
              </w:rPr>
              <w:t>2.</w:t>
            </w:r>
            <w:r>
              <w:rPr>
                <w:szCs w:val="18"/>
              </w:rPr>
              <w:tab/>
              <w:t>zur Abreifebeschleunigung bei Kulturgräsern, deren Samen zur Saatguterzeugung bestimmt sind.</w:t>
            </w:r>
          </w:p>
        </w:tc>
      </w:tr>
      <w:tr>
        <w:trPr>
          <w:trHeight w:val="2874"/>
        </w:trPr>
        <w:tc>
          <w:tcPr>
            <w:tcW w:w="1050" w:type="dxa"/>
          </w:tcPr>
          <w:p>
            <w:pPr>
              <w:pStyle w:val="GesAbsatz"/>
              <w:rPr>
                <w:szCs w:val="18"/>
              </w:rPr>
            </w:pPr>
            <w:r>
              <w:rPr>
                <w:szCs w:val="18"/>
              </w:rPr>
              <w:t>5</w:t>
            </w:r>
          </w:p>
        </w:tc>
        <w:tc>
          <w:tcPr>
            <w:tcW w:w="2919" w:type="dxa"/>
          </w:tcPr>
          <w:p>
            <w:pPr>
              <w:pStyle w:val="GesAbsatz"/>
              <w:jc w:val="left"/>
              <w:rPr>
                <w:szCs w:val="18"/>
              </w:rPr>
            </w:pPr>
            <w:r>
              <w:rPr>
                <w:szCs w:val="18"/>
              </w:rPr>
              <w:t>Phosphorwasserstoff entwickelnde Verbindungen, ausgenommen Zinkphosphid als rodentizides Ködermittel</w:t>
            </w:r>
          </w:p>
        </w:tc>
        <w:tc>
          <w:tcPr>
            <w:tcW w:w="5586" w:type="dxa"/>
          </w:tcPr>
          <w:p>
            <w:pPr>
              <w:pStyle w:val="GesAbsatz"/>
              <w:rPr>
                <w:szCs w:val="18"/>
              </w:rPr>
            </w:pPr>
            <w:r>
              <w:rPr>
                <w:szCs w:val="18"/>
              </w:rPr>
              <w:t>zur Begasung</w:t>
            </w:r>
          </w:p>
          <w:p>
            <w:pPr>
              <w:pStyle w:val="GesAbsatz"/>
              <w:tabs>
                <w:tab w:val="clear" w:pos="425"/>
                <w:tab w:val="left" w:pos="369"/>
              </w:tabs>
              <w:ind w:left="369" w:hanging="369"/>
              <w:rPr>
                <w:szCs w:val="18"/>
              </w:rPr>
            </w:pPr>
            <w:r>
              <w:rPr>
                <w:szCs w:val="18"/>
              </w:rPr>
              <w:t>1.</w:t>
            </w:r>
            <w:r>
              <w:rPr>
                <w:szCs w:val="18"/>
              </w:rPr>
              <w:tab/>
              <w:t>in Lagerräumen, Vorratsräumen, Silozellen, Transportmitteln und -behältern und unter gasdichten Planen gegen Vorratsschädlinge;</w:t>
            </w:r>
          </w:p>
          <w:p>
            <w:pPr>
              <w:pStyle w:val="GesAbsatz"/>
              <w:tabs>
                <w:tab w:val="clear" w:pos="425"/>
                <w:tab w:val="left" w:pos="369"/>
              </w:tabs>
              <w:ind w:left="369" w:hanging="369"/>
              <w:rPr>
                <w:szCs w:val="18"/>
              </w:rPr>
            </w:pPr>
            <w:r>
              <w:rPr>
                <w:szCs w:val="18"/>
              </w:rPr>
              <w:t>2.</w:t>
            </w:r>
            <w:r>
              <w:rPr>
                <w:szCs w:val="18"/>
              </w:rPr>
              <w:tab/>
              <w:t>außerhalb von Wasserschutzgebieten und Heilquellenschutzgebieten</w:t>
            </w:r>
          </w:p>
          <w:p>
            <w:pPr>
              <w:pStyle w:val="GesAbsatz"/>
              <w:tabs>
                <w:tab w:val="clear" w:pos="425"/>
                <w:tab w:val="left" w:pos="653"/>
              </w:tabs>
              <w:ind w:left="653" w:hanging="284"/>
              <w:rPr>
                <w:szCs w:val="18"/>
              </w:rPr>
            </w:pPr>
            <w:r>
              <w:rPr>
                <w:szCs w:val="18"/>
              </w:rPr>
              <w:t>a)</w:t>
            </w:r>
            <w:r>
              <w:rPr>
                <w:szCs w:val="18"/>
              </w:rPr>
              <w:tab/>
              <w:t>gegen die Schermaus (Arvicola terrestris L.);</w:t>
            </w:r>
          </w:p>
          <w:p>
            <w:pPr>
              <w:pStyle w:val="GesAbsatz"/>
              <w:tabs>
                <w:tab w:val="clear" w:pos="425"/>
                <w:tab w:val="left" w:pos="653"/>
              </w:tabs>
              <w:ind w:left="653" w:hanging="284"/>
              <w:rPr>
                <w:szCs w:val="18"/>
              </w:rPr>
            </w:pPr>
            <w:r>
              <w:rPr>
                <w:szCs w:val="18"/>
              </w:rPr>
              <w:t>b)</w:t>
            </w:r>
            <w:r>
              <w:rPr>
                <w:szCs w:val="18"/>
              </w:rPr>
              <w:tab/>
              <w:t>gegen den Hamster (Cricetus cricetus L.) und den Maulwurf (Talpa europaea L.); nur mit Zustimmung der zuständigen Behörde.</w:t>
            </w:r>
          </w:p>
        </w:tc>
      </w:tr>
      <w:tr>
        <w:trPr>
          <w:trHeight w:val="846"/>
        </w:trPr>
        <w:tc>
          <w:tcPr>
            <w:tcW w:w="1050" w:type="dxa"/>
          </w:tcPr>
          <w:p>
            <w:pPr>
              <w:pStyle w:val="GesAbsatz"/>
              <w:rPr>
                <w:szCs w:val="18"/>
              </w:rPr>
            </w:pPr>
            <w:r>
              <w:rPr>
                <w:szCs w:val="18"/>
              </w:rPr>
              <w:t>6</w:t>
            </w:r>
          </w:p>
        </w:tc>
        <w:tc>
          <w:tcPr>
            <w:tcW w:w="2919" w:type="dxa"/>
          </w:tcPr>
          <w:p>
            <w:pPr>
              <w:pStyle w:val="GesAbsatz"/>
              <w:rPr>
                <w:szCs w:val="18"/>
              </w:rPr>
            </w:pPr>
            <w:r>
              <w:rPr>
                <w:szCs w:val="18"/>
              </w:rPr>
              <w:t>Schwefelkohlenstoff</w:t>
            </w:r>
          </w:p>
        </w:tc>
        <w:tc>
          <w:tcPr>
            <w:tcW w:w="5586" w:type="dxa"/>
          </w:tcPr>
          <w:p>
            <w:pPr>
              <w:pStyle w:val="GesAbsatz"/>
              <w:rPr>
                <w:szCs w:val="18"/>
              </w:rPr>
            </w:pPr>
            <w:r>
              <w:rPr>
                <w:szCs w:val="18"/>
              </w:rPr>
              <w:t>zur Bodenbehandlung im Weinbau gegen Befallsherde der Reblaus (Daktulosphaira vitifoliae Fitch), nur mit Zustimmung der zuständigen Behörde.</w:t>
            </w:r>
          </w:p>
        </w:tc>
      </w:tr>
      <w:tr>
        <w:tc>
          <w:tcPr>
            <w:tcW w:w="1050" w:type="dxa"/>
          </w:tcPr>
          <w:p>
            <w:pPr>
              <w:pStyle w:val="GesAbsatz"/>
              <w:rPr>
                <w:szCs w:val="18"/>
              </w:rPr>
            </w:pPr>
            <w:r>
              <w:rPr>
                <w:szCs w:val="18"/>
              </w:rPr>
              <w:t>7</w:t>
            </w:r>
          </w:p>
        </w:tc>
        <w:tc>
          <w:tcPr>
            <w:tcW w:w="2919" w:type="dxa"/>
          </w:tcPr>
          <w:p>
            <w:pPr>
              <w:pStyle w:val="GesAbsatz"/>
              <w:rPr>
                <w:szCs w:val="18"/>
              </w:rPr>
            </w:pPr>
            <w:r>
              <w:rPr>
                <w:szCs w:val="18"/>
              </w:rPr>
              <w:t>Thallium-I-sulfat</w:t>
            </w:r>
          </w:p>
        </w:tc>
        <w:tc>
          <w:tcPr>
            <w:tcW w:w="5586" w:type="dxa"/>
          </w:tcPr>
          <w:p>
            <w:pPr>
              <w:pStyle w:val="GesAbsatz"/>
              <w:rPr>
                <w:szCs w:val="18"/>
              </w:rPr>
            </w:pPr>
            <w:r>
              <w:rPr>
                <w:szCs w:val="18"/>
              </w:rPr>
              <w:t>in geschlossenen Räumen.</w:t>
            </w:r>
          </w:p>
        </w:tc>
      </w:tr>
      <w:tr>
        <w:trPr>
          <w:trHeight w:val="606"/>
        </w:trPr>
        <w:tc>
          <w:tcPr>
            <w:tcW w:w="1050" w:type="dxa"/>
          </w:tcPr>
          <w:p>
            <w:pPr>
              <w:pStyle w:val="GesAbsatz"/>
              <w:rPr>
                <w:szCs w:val="18"/>
              </w:rPr>
            </w:pPr>
            <w:r>
              <w:rPr>
                <w:szCs w:val="18"/>
              </w:rPr>
              <w:t>8</w:t>
            </w:r>
          </w:p>
        </w:tc>
        <w:tc>
          <w:tcPr>
            <w:tcW w:w="2919" w:type="dxa"/>
          </w:tcPr>
          <w:p>
            <w:pPr>
              <w:pStyle w:val="GesAbsatz"/>
              <w:rPr>
                <w:szCs w:val="18"/>
              </w:rPr>
            </w:pPr>
            <w:r>
              <w:rPr>
                <w:szCs w:val="18"/>
              </w:rPr>
              <w:t>Zinkphosphid</w:t>
            </w:r>
          </w:p>
        </w:tc>
        <w:tc>
          <w:tcPr>
            <w:tcW w:w="5586" w:type="dxa"/>
          </w:tcPr>
          <w:p>
            <w:pPr>
              <w:pStyle w:val="GesAbsatz"/>
              <w:jc w:val="left"/>
              <w:rPr>
                <w:szCs w:val="18"/>
              </w:rPr>
            </w:pPr>
            <w:r>
              <w:rPr>
                <w:szCs w:val="18"/>
              </w:rPr>
              <w:t>in Ködern; außerhalb von Forsten nur in verdeckt ausgebrachten Ködern.</w:t>
            </w:r>
          </w:p>
        </w:tc>
      </w:tr>
    </w:tbl>
    <w:p/>
    <w:p/>
    <w:p>
      <w:pPr>
        <w:pStyle w:val="berschrift2"/>
        <w:jc w:val="left"/>
      </w:pPr>
      <w:bookmarkStart w:id="15" w:name="_Toc410444463"/>
      <w:bookmarkStart w:id="16" w:name="_Toc446401270"/>
      <w:bookmarkStart w:id="17" w:name="_Toc446401375"/>
      <w:bookmarkStart w:id="18" w:name="_Toc193196133"/>
      <w:bookmarkStart w:id="19" w:name="_Toc448299006"/>
      <w:r>
        <w:t>Anlage 3 (zu den §§ 3 und 4)</w:t>
      </w:r>
      <w:bookmarkEnd w:id="15"/>
      <w:bookmarkEnd w:id="16"/>
      <w:bookmarkEnd w:id="17"/>
      <w:bookmarkEnd w:id="18"/>
    </w:p>
    <w:p>
      <w:pPr>
        <w:pStyle w:val="GesAbsatz"/>
      </w:pPr>
    </w:p>
    <w:p>
      <w:pPr>
        <w:pStyle w:val="GesAbsatz"/>
        <w:jc w:val="center"/>
        <w:rPr>
          <w:b/>
        </w:rPr>
      </w:pPr>
      <w:r>
        <w:rPr>
          <w:b/>
        </w:rPr>
        <w:t>Anwendungsbeschränkungen</w:t>
      </w:r>
      <w:bookmarkEnd w:id="19"/>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751"/>
        <w:gridCol w:w="6720"/>
        <w:gridCol w:w="60"/>
      </w:tblGrid>
      <w:tr>
        <w:trPr>
          <w:gridAfter w:val="1"/>
          <w:wAfter w:w="60" w:type="dxa"/>
        </w:trPr>
        <w:tc>
          <w:tcPr>
            <w:tcW w:w="1129" w:type="dxa"/>
          </w:tcPr>
          <w:p>
            <w:pPr>
              <w:pStyle w:val="GesAbsatz"/>
              <w:jc w:val="left"/>
              <w:rPr>
                <w:b/>
              </w:rPr>
            </w:pPr>
            <w:r>
              <w:rPr>
                <w:b/>
              </w:rPr>
              <w:t>Nummer</w:t>
            </w:r>
          </w:p>
        </w:tc>
        <w:tc>
          <w:tcPr>
            <w:tcW w:w="1751" w:type="dxa"/>
          </w:tcPr>
          <w:p>
            <w:pPr>
              <w:pStyle w:val="GesAbsatz"/>
              <w:jc w:val="left"/>
              <w:rPr>
                <w:rFonts w:ascii="Times New Roman" w:hAnsi="Times New Roman"/>
                <w:b/>
              </w:rPr>
            </w:pPr>
            <w:r>
              <w:rPr>
                <w:b/>
              </w:rPr>
              <w:t>Stoff</w:t>
            </w:r>
          </w:p>
        </w:tc>
        <w:tc>
          <w:tcPr>
            <w:tcW w:w="6720" w:type="dxa"/>
          </w:tcPr>
          <w:p>
            <w:pPr>
              <w:pStyle w:val="GesAbsatz"/>
              <w:jc w:val="left"/>
              <w:rPr>
                <w:b/>
              </w:rPr>
            </w:pPr>
            <w:r>
              <w:rPr>
                <w:b/>
              </w:rPr>
              <w:t>Besondere Bestimmungen</w:t>
            </w:r>
          </w:p>
        </w:tc>
      </w:tr>
      <w:tr>
        <w:trPr>
          <w:gridAfter w:val="1"/>
          <w:wAfter w:w="60" w:type="dxa"/>
        </w:trPr>
        <w:tc>
          <w:tcPr>
            <w:tcW w:w="1129" w:type="dxa"/>
          </w:tcPr>
          <w:p>
            <w:pPr>
              <w:pStyle w:val="GesAbsatz"/>
              <w:jc w:val="left"/>
              <w:rPr>
                <w:b/>
              </w:rPr>
            </w:pPr>
            <w:r>
              <w:rPr>
                <w:b/>
              </w:rPr>
              <w:t>1</w:t>
            </w:r>
          </w:p>
        </w:tc>
        <w:tc>
          <w:tcPr>
            <w:tcW w:w="1751" w:type="dxa"/>
          </w:tcPr>
          <w:p>
            <w:pPr>
              <w:pStyle w:val="GesAbsatz"/>
              <w:jc w:val="left"/>
              <w:rPr>
                <w:rFonts w:ascii="Times New Roman" w:hAnsi="Times New Roman"/>
                <w:b/>
              </w:rPr>
            </w:pPr>
            <w:r>
              <w:rPr>
                <w:b/>
              </w:rPr>
              <w:t>2</w:t>
            </w:r>
          </w:p>
        </w:tc>
        <w:tc>
          <w:tcPr>
            <w:tcW w:w="6720" w:type="dxa"/>
          </w:tcPr>
          <w:p>
            <w:pPr>
              <w:pStyle w:val="GesAbsatz"/>
              <w:jc w:val="left"/>
              <w:rPr>
                <w:b/>
              </w:rPr>
            </w:pPr>
            <w:r>
              <w:rPr>
                <w:b/>
              </w:rPr>
              <w:t>3</w:t>
            </w:r>
          </w:p>
        </w:tc>
      </w:tr>
      <w:tr>
        <w:trPr>
          <w:gridAfter w:val="1"/>
          <w:wAfter w:w="60" w:type="dxa"/>
        </w:trPr>
        <w:tc>
          <w:tcPr>
            <w:tcW w:w="1129" w:type="dxa"/>
          </w:tcPr>
          <w:p>
            <w:pPr>
              <w:pStyle w:val="GesAbsatz"/>
              <w:rPr>
                <w:rFonts w:ascii="Times New Roman" w:hAnsi="Times New Roman"/>
                <w:b/>
              </w:rPr>
            </w:pPr>
          </w:p>
        </w:tc>
        <w:tc>
          <w:tcPr>
            <w:tcW w:w="1751" w:type="dxa"/>
          </w:tcPr>
          <w:p>
            <w:pPr>
              <w:pStyle w:val="GesAbsatz"/>
              <w:rPr>
                <w:rFonts w:ascii="Times New Roman" w:hAnsi="Times New Roman"/>
                <w:b/>
              </w:rPr>
            </w:pPr>
            <w:r>
              <w:rPr>
                <w:b/>
                <w:szCs w:val="18"/>
              </w:rPr>
              <w:t>Abschnitt A</w:t>
            </w:r>
          </w:p>
        </w:tc>
        <w:tc>
          <w:tcPr>
            <w:tcW w:w="6720" w:type="dxa"/>
          </w:tcPr>
          <w:p>
            <w:pPr>
              <w:pStyle w:val="GesAbsatz"/>
              <w:rPr>
                <w:rFonts w:ascii="Times New Roman" w:hAnsi="Times New Roman"/>
                <w:b/>
              </w:rPr>
            </w:pPr>
          </w:p>
        </w:tc>
      </w:tr>
      <w:tr>
        <w:trPr>
          <w:gridAfter w:val="1"/>
          <w:wAfter w:w="60" w:type="dxa"/>
        </w:trPr>
        <w:tc>
          <w:tcPr>
            <w:tcW w:w="1129" w:type="dxa"/>
          </w:tcPr>
          <w:p>
            <w:pPr>
              <w:pStyle w:val="GesAbsatz"/>
              <w:rPr>
                <w:szCs w:val="18"/>
              </w:rPr>
            </w:pPr>
            <w:r>
              <w:rPr>
                <w:szCs w:val="18"/>
              </w:rPr>
              <w:t>1</w:t>
            </w:r>
          </w:p>
        </w:tc>
        <w:tc>
          <w:tcPr>
            <w:tcW w:w="1751" w:type="dxa"/>
          </w:tcPr>
          <w:p>
            <w:pPr>
              <w:pStyle w:val="GesAbsatz"/>
              <w:rPr>
                <w:rFonts w:ascii="Times New Roman" w:hAnsi="Times New Roman"/>
              </w:rPr>
            </w:pPr>
            <w:r>
              <w:t>Amitrol</w:t>
            </w:r>
          </w:p>
        </w:tc>
        <w:tc>
          <w:tcPr>
            <w:tcW w:w="6720" w:type="dxa"/>
          </w:tcPr>
          <w:p>
            <w:pPr>
              <w:pStyle w:val="GesAbsatz"/>
              <w:rPr>
                <w:szCs w:val="18"/>
              </w:rPr>
            </w:pPr>
            <w:r>
              <w:rPr>
                <w:szCs w:val="18"/>
              </w:rPr>
              <w:t>Die Anwendung ist verboten</w:t>
            </w:r>
          </w:p>
          <w:p>
            <w:pPr>
              <w:pStyle w:val="GesAbsatz"/>
              <w:rPr>
                <w:szCs w:val="18"/>
              </w:rPr>
            </w:pPr>
            <w:r>
              <w:rPr>
                <w:szCs w:val="18"/>
              </w:rPr>
              <w:t>1.</w:t>
            </w:r>
            <w:r>
              <w:rPr>
                <w:szCs w:val="18"/>
              </w:rPr>
              <w:tab/>
              <w:t>von Luftfahrzeugen aus,</w:t>
            </w:r>
          </w:p>
          <w:p>
            <w:pPr>
              <w:pStyle w:val="GesAbsatz"/>
              <w:rPr>
                <w:szCs w:val="18"/>
              </w:rPr>
            </w:pPr>
            <w:r>
              <w:rPr>
                <w:szCs w:val="18"/>
              </w:rPr>
              <w:t>2.</w:t>
            </w:r>
            <w:r>
              <w:rPr>
                <w:szCs w:val="18"/>
              </w:rPr>
              <w:tab/>
              <w:t>in der Zeit vom 1. September bis 30. April,</w:t>
            </w:r>
          </w:p>
          <w:p>
            <w:pPr>
              <w:pStyle w:val="GesAbsatz"/>
              <w:rPr>
                <w:szCs w:val="18"/>
              </w:rPr>
            </w:pPr>
            <w:r>
              <w:rPr>
                <w:szCs w:val="18"/>
              </w:rPr>
              <w:t>3.</w:t>
            </w:r>
            <w:r>
              <w:rPr>
                <w:szCs w:val="18"/>
              </w:rPr>
              <w:tab/>
              <w:t>mit einem Aufwand von mehr als 4 kg Wirkstoff je Hektar.</w:t>
            </w:r>
          </w:p>
        </w:tc>
      </w:tr>
      <w:tr>
        <w:trPr>
          <w:gridAfter w:val="1"/>
          <w:wAfter w:w="60" w:type="dxa"/>
        </w:trPr>
        <w:tc>
          <w:tcPr>
            <w:tcW w:w="1129" w:type="dxa"/>
          </w:tcPr>
          <w:p>
            <w:pPr>
              <w:pStyle w:val="GesAbsatz"/>
              <w:rPr>
                <w:szCs w:val="18"/>
              </w:rPr>
            </w:pPr>
            <w:r>
              <w:rPr>
                <w:szCs w:val="18"/>
              </w:rPr>
              <w:lastRenderedPageBreak/>
              <w:t>2</w:t>
            </w:r>
          </w:p>
        </w:tc>
        <w:tc>
          <w:tcPr>
            <w:tcW w:w="1751" w:type="dxa"/>
          </w:tcPr>
          <w:p>
            <w:pPr>
              <w:pStyle w:val="GesAbsatz"/>
              <w:rPr>
                <w:rFonts w:ascii="Times New Roman" w:hAnsi="Times New Roman"/>
              </w:rPr>
            </w:pPr>
            <w:r>
              <w:t>Daminozid</w:t>
            </w:r>
          </w:p>
        </w:tc>
        <w:tc>
          <w:tcPr>
            <w:tcW w:w="6720" w:type="dxa"/>
          </w:tcPr>
          <w:p>
            <w:pPr>
              <w:pStyle w:val="GesAbsatz"/>
              <w:rPr>
                <w:szCs w:val="18"/>
              </w:rPr>
            </w:pPr>
            <w:r>
              <w:rPr>
                <w:szCs w:val="18"/>
              </w:rPr>
              <w:t>Die Anwendung an Pflanzen, die zur Erzeugung oder Herstellung von Lebensmitteln bestimmt sind, ist verboten.</w:t>
            </w:r>
          </w:p>
        </w:tc>
      </w:tr>
      <w:tr>
        <w:trPr>
          <w:gridAfter w:val="1"/>
          <w:wAfter w:w="60" w:type="dxa"/>
        </w:trPr>
        <w:tc>
          <w:tcPr>
            <w:tcW w:w="1129" w:type="dxa"/>
          </w:tcPr>
          <w:p>
            <w:pPr>
              <w:pStyle w:val="GesAbsatz"/>
              <w:rPr>
                <w:szCs w:val="18"/>
              </w:rPr>
            </w:pPr>
            <w:r>
              <w:rPr>
                <w:szCs w:val="18"/>
              </w:rPr>
              <w:t>3</w:t>
            </w:r>
          </w:p>
        </w:tc>
        <w:tc>
          <w:tcPr>
            <w:tcW w:w="1751" w:type="dxa"/>
          </w:tcPr>
          <w:p>
            <w:pPr>
              <w:pStyle w:val="GesAbsatz"/>
              <w:rPr>
                <w:rFonts w:ascii="Times New Roman" w:hAnsi="Times New Roman"/>
              </w:rPr>
            </w:pPr>
            <w:r>
              <w:t>Diuron</w:t>
            </w:r>
          </w:p>
        </w:tc>
        <w:tc>
          <w:tcPr>
            <w:tcW w:w="6720" w:type="dxa"/>
          </w:tcPr>
          <w:p>
            <w:pPr>
              <w:pStyle w:val="GesAbsatz"/>
              <w:rPr>
                <w:szCs w:val="18"/>
              </w:rPr>
            </w:pPr>
            <w:r>
              <w:rPr>
                <w:szCs w:val="18"/>
              </w:rPr>
              <w:t>Die Anwendung ist verboten</w:t>
            </w:r>
          </w:p>
          <w:p>
            <w:pPr>
              <w:pStyle w:val="GesAbsatz"/>
              <w:tabs>
                <w:tab w:val="clear" w:pos="425"/>
                <w:tab w:val="left" w:pos="381"/>
              </w:tabs>
              <w:ind w:left="381" w:hanging="381"/>
              <w:rPr>
                <w:szCs w:val="18"/>
              </w:rPr>
            </w:pPr>
            <w:r>
              <w:rPr>
                <w:szCs w:val="18"/>
              </w:rPr>
              <w:t>1.</w:t>
            </w:r>
            <w:r>
              <w:rPr>
                <w:szCs w:val="18"/>
              </w:rPr>
              <w:tab/>
              <w:t>auf Gleisanlagen,</w:t>
            </w:r>
          </w:p>
          <w:p>
            <w:pPr>
              <w:pStyle w:val="GesAbsatz"/>
              <w:tabs>
                <w:tab w:val="clear" w:pos="425"/>
                <w:tab w:val="left" w:pos="381"/>
              </w:tabs>
              <w:ind w:left="381" w:hanging="381"/>
              <w:rPr>
                <w:szCs w:val="18"/>
              </w:rPr>
            </w:pPr>
            <w:r>
              <w:rPr>
                <w:szCs w:val="18"/>
              </w:rPr>
              <w:t>2.</w:t>
            </w:r>
            <w:r>
              <w:rPr>
                <w:szCs w:val="18"/>
              </w:rPr>
              <w:tab/>
              <w:t>auf nicht versiegelten Flächen, die mit Schlacke, Split, Kies und ähnlichen Materialien befestigt sind (Wege, Plätze und sonstiges Nichtkulturland), von denen die Gefahr einer unmittelbaren oder mittelbaren Abschwemmung in Gewässer oder Kanalisation, Drainagen, Straßenabläufe sowie Regen- und Schmutzwasserkanäle besteht,</w:t>
            </w:r>
          </w:p>
          <w:p>
            <w:pPr>
              <w:pStyle w:val="GesAbsatz"/>
              <w:tabs>
                <w:tab w:val="clear" w:pos="425"/>
                <w:tab w:val="left" w:pos="381"/>
              </w:tabs>
              <w:ind w:left="381" w:hanging="381"/>
              <w:rPr>
                <w:szCs w:val="18"/>
              </w:rPr>
            </w:pPr>
            <w:r>
              <w:rPr>
                <w:szCs w:val="18"/>
              </w:rPr>
              <w:t>3.</w:t>
            </w:r>
            <w:r>
              <w:rPr>
                <w:szCs w:val="18"/>
              </w:rPr>
              <w:tab/>
              <w:t>auf oder unmittelbar an Flächen, die mit Beton, Bitumen, Pflaster, Platten und ähnlichen Materialen versiegelt sind (Wege, Plätze und sonstiges Nichtkulturland), von denen die Gefahr einer unmittelbaren oder mittelbaren Abschwemmung in Gewässer oder in Kanalisation, Drainagen, Straßenabläufe sowie Regen- und Schmutzwasserkanäle besteht,</w:t>
            </w:r>
          </w:p>
          <w:p>
            <w:pPr>
              <w:pStyle w:val="GesAbsatz"/>
              <w:tabs>
                <w:tab w:val="clear" w:pos="425"/>
                <w:tab w:val="left" w:pos="381"/>
              </w:tabs>
              <w:ind w:left="381" w:hanging="381"/>
              <w:rPr>
                <w:szCs w:val="18"/>
              </w:rPr>
            </w:pPr>
            <w:r>
              <w:rPr>
                <w:szCs w:val="18"/>
              </w:rPr>
              <w:t>4.</w:t>
            </w:r>
            <w:r>
              <w:rPr>
                <w:szCs w:val="18"/>
              </w:rPr>
              <w:tab/>
              <w:t>im Haus- und Kleingarten.</w:t>
            </w:r>
          </w:p>
        </w:tc>
      </w:tr>
      <w:tr>
        <w:trPr>
          <w:gridAfter w:val="1"/>
          <w:wAfter w:w="60" w:type="dxa"/>
        </w:trPr>
        <w:tc>
          <w:tcPr>
            <w:tcW w:w="1129" w:type="dxa"/>
          </w:tcPr>
          <w:p>
            <w:pPr>
              <w:pStyle w:val="GesAbsatz"/>
              <w:rPr>
                <w:szCs w:val="18"/>
              </w:rPr>
            </w:pPr>
            <w:r>
              <w:rPr>
                <w:szCs w:val="18"/>
              </w:rPr>
              <w:t>4</w:t>
            </w:r>
          </w:p>
        </w:tc>
        <w:tc>
          <w:tcPr>
            <w:tcW w:w="1751" w:type="dxa"/>
          </w:tcPr>
          <w:p>
            <w:pPr>
              <w:pStyle w:val="GesAbsatz"/>
              <w:jc w:val="left"/>
              <w:rPr>
                <w:szCs w:val="18"/>
              </w:rPr>
            </w:pPr>
            <w:r>
              <w:rPr>
                <w:szCs w:val="18"/>
              </w:rPr>
              <w:t>Glyphosat</w:t>
            </w:r>
          </w:p>
        </w:tc>
        <w:tc>
          <w:tcPr>
            <w:tcW w:w="6720" w:type="dxa"/>
          </w:tcPr>
          <w:p>
            <w:pPr>
              <w:pStyle w:val="GesAbsatz"/>
              <w:tabs>
                <w:tab w:val="clear" w:pos="425"/>
                <w:tab w:val="left" w:pos="381"/>
              </w:tabs>
              <w:ind w:left="381" w:hanging="381"/>
              <w:rPr>
                <w:szCs w:val="18"/>
              </w:rPr>
            </w:pPr>
            <w:r>
              <w:rPr>
                <w:szCs w:val="18"/>
              </w:rPr>
              <w:t>Die Anwendung ist verboten</w:t>
            </w:r>
          </w:p>
          <w:p>
            <w:pPr>
              <w:pStyle w:val="GesAbsatz"/>
              <w:tabs>
                <w:tab w:val="clear" w:pos="425"/>
                <w:tab w:val="left" w:pos="381"/>
              </w:tabs>
              <w:ind w:left="381" w:hanging="381"/>
              <w:rPr>
                <w:szCs w:val="18"/>
              </w:rPr>
            </w:pPr>
            <w:r>
              <w:rPr>
                <w:szCs w:val="18"/>
              </w:rPr>
              <w:t>1.</w:t>
            </w:r>
            <w:r>
              <w:rPr>
                <w:szCs w:val="18"/>
              </w:rPr>
              <w:tab/>
              <w:t>auf nicht versiegelten Flächen, die mit Schlacke, Split, Kies und ähnlichen Materialien befestigt sind (Wege, Plätze und sonstiges Nichtkulturland), von denen die Gefahr einer unmittelbaren oder mittelbaren Abschwemmung in Gewässer oder Kanalisation, Drainagen, Straßenabläufe sowie Regen- und Schmutzwasserkanäle besteht, es sei denn, die zuständige Behörde schreibt mit der Genehmigung ein Anwendungsverfahren vor, mit dem sichergestellt ist, dass die Gefahr der Abschwemmung nicht besteht,</w:t>
            </w:r>
          </w:p>
          <w:p>
            <w:pPr>
              <w:pStyle w:val="GesAbsatz"/>
              <w:tabs>
                <w:tab w:val="clear" w:pos="425"/>
                <w:tab w:val="left" w:pos="381"/>
              </w:tabs>
              <w:ind w:left="381" w:hanging="381"/>
              <w:rPr>
                <w:szCs w:val="18"/>
              </w:rPr>
            </w:pPr>
            <w:r>
              <w:rPr>
                <w:szCs w:val="18"/>
              </w:rPr>
              <w:t>2.</w:t>
            </w:r>
            <w:r>
              <w:rPr>
                <w:szCs w:val="18"/>
              </w:rPr>
              <w:tab/>
              <w:t>auf oder unmittelbar an Flächen, die mit Beton, Bitumen, Pflaster, Platten und ähnlichen Materialien versiegelt sind (Wege, Plätze und sonstiges Nichtkulturland), von denen die Gefahr einer unmittelbaren oder mittelbaren Abschwemmung in Gewässer oder in Kanalisation, Drainagen, Straßenabläufe sowie Regen- und Schmutzwasserkanäle besteht, es sei denn, die zuständige Behörde schreibt mit der Genehmigung ein Anwendungsverfahren vor, mit dem sichergestellt ist, dass die Gefahr der Abschwemmung nicht besteht,</w:t>
            </w:r>
          </w:p>
          <w:p>
            <w:pPr>
              <w:pStyle w:val="GesAbsatz"/>
              <w:tabs>
                <w:tab w:val="clear" w:pos="425"/>
                <w:tab w:val="left" w:pos="381"/>
              </w:tabs>
              <w:ind w:left="381" w:hanging="381"/>
              <w:rPr>
                <w:szCs w:val="18"/>
              </w:rPr>
            </w:pPr>
            <w:r>
              <w:rPr>
                <w:szCs w:val="18"/>
              </w:rPr>
              <w:t>3.</w:t>
            </w:r>
            <w:r>
              <w:rPr>
                <w:szCs w:val="18"/>
              </w:rPr>
              <w:tab/>
              <w:t>im Haus- und Kleingartenbereich; dies gilt nicht, solange für das jeweilige Pflanzenschutzmittel auf Grund einer vor dem 8. September 2021 getroffenen unanfechtbaren Entscheidung</w:t>
            </w:r>
          </w:p>
          <w:p>
            <w:pPr>
              <w:pStyle w:val="GesAbsatz"/>
              <w:tabs>
                <w:tab w:val="clear" w:pos="425"/>
                <w:tab w:val="left" w:pos="693"/>
              </w:tabs>
              <w:ind w:left="693" w:hanging="284"/>
              <w:rPr>
                <w:szCs w:val="18"/>
              </w:rPr>
            </w:pPr>
            <w:r>
              <w:rPr>
                <w:szCs w:val="18"/>
              </w:rPr>
              <w:t>a)</w:t>
            </w:r>
            <w:r>
              <w:rPr>
                <w:szCs w:val="18"/>
              </w:rPr>
              <w:tab/>
              <w:t>die Anwendung durch nichtberufliche Anwender zugelassen ist</w:t>
            </w:r>
            <w:r>
              <w:rPr>
                <w:szCs w:val="18"/>
              </w:rPr>
              <w:br/>
              <w:t>oder</w:t>
            </w:r>
          </w:p>
          <w:p>
            <w:pPr>
              <w:pStyle w:val="GesAbsatz"/>
              <w:tabs>
                <w:tab w:val="clear" w:pos="425"/>
                <w:tab w:val="left" w:pos="693"/>
              </w:tabs>
              <w:ind w:left="693" w:hanging="284"/>
              <w:rPr>
                <w:szCs w:val="18"/>
              </w:rPr>
            </w:pPr>
            <w:r>
              <w:rPr>
                <w:szCs w:val="18"/>
              </w:rPr>
              <w:t>b)</w:t>
            </w:r>
            <w:r>
              <w:rPr>
                <w:szCs w:val="18"/>
              </w:rPr>
              <w:tab/>
              <w:t>die Anwendung durch berufliche Anwender zugelassen und die Eignung zur Anwendung im Haus- und Kleingartenbereich nach § 36 Absatz 1 Satz 2 Nummer 3 oder Absatz 2 des Pflanzenschutzgesetzes festgelegt ist,</w:t>
            </w:r>
          </w:p>
          <w:p>
            <w:pPr>
              <w:pStyle w:val="GesAbsatz"/>
              <w:tabs>
                <w:tab w:val="clear" w:pos="425"/>
                <w:tab w:val="left" w:pos="381"/>
              </w:tabs>
              <w:ind w:left="381" w:hanging="381"/>
              <w:rPr>
                <w:szCs w:val="18"/>
              </w:rPr>
            </w:pPr>
            <w:r>
              <w:rPr>
                <w:szCs w:val="18"/>
              </w:rPr>
              <w:t>4.</w:t>
            </w:r>
            <w:r>
              <w:rPr>
                <w:szCs w:val="18"/>
              </w:rPr>
              <w:tab/>
              <w:t>auf Flächen, die für die Allgemeinheit bestimmt sind; dies gilt nicht, solange für das jeweilige Pflanzenschutzmittel auf Grund einer vor dem 8. September 2021 getroffenen unanfechtbaren Entscheidung die Eignung für die Anwendung auf Flächen, die für die Allgemeinheit bestimmt sind, im Rahmen eines Zulassungsverfahrens festgelegt oder die Anwendung auf Flächen genehmigt ist, die für die Allgemeinheit bestimmt sind.</w:t>
            </w:r>
          </w:p>
        </w:tc>
      </w:tr>
      <w:tr>
        <w:trPr>
          <w:gridAfter w:val="1"/>
          <w:wAfter w:w="60" w:type="dxa"/>
        </w:trPr>
        <w:tc>
          <w:tcPr>
            <w:tcW w:w="1129" w:type="dxa"/>
          </w:tcPr>
          <w:p>
            <w:pPr>
              <w:pStyle w:val="GesAbsatz"/>
              <w:rPr>
                <w:szCs w:val="18"/>
              </w:rPr>
            </w:pPr>
            <w:r>
              <w:rPr>
                <w:szCs w:val="18"/>
              </w:rPr>
              <w:t>5</w:t>
            </w:r>
          </w:p>
        </w:tc>
        <w:tc>
          <w:tcPr>
            <w:tcW w:w="1751" w:type="dxa"/>
          </w:tcPr>
          <w:p>
            <w:pPr>
              <w:pStyle w:val="GesAbsatz"/>
              <w:rPr>
                <w:szCs w:val="18"/>
              </w:rPr>
            </w:pPr>
            <w:r>
              <w:rPr>
                <w:szCs w:val="18"/>
              </w:rPr>
              <w:t>Quarzmehl</w:t>
            </w:r>
          </w:p>
        </w:tc>
        <w:tc>
          <w:tcPr>
            <w:tcW w:w="6720" w:type="dxa"/>
          </w:tcPr>
          <w:p>
            <w:pPr>
              <w:pStyle w:val="GesAbsatz"/>
              <w:rPr>
                <w:szCs w:val="18"/>
              </w:rPr>
            </w:pPr>
            <w:r>
              <w:rPr>
                <w:szCs w:val="18"/>
              </w:rPr>
              <w:t>Die Anwendung in Vorräten von Getreide und Räumen, die der Lagerung von Getreide dienen, ist verboten.</w:t>
            </w:r>
          </w:p>
        </w:tc>
      </w:tr>
      <w:tr>
        <w:trPr>
          <w:gridAfter w:val="1"/>
          <w:wAfter w:w="60" w:type="dxa"/>
        </w:trPr>
        <w:tc>
          <w:tcPr>
            <w:tcW w:w="1129" w:type="dxa"/>
          </w:tcPr>
          <w:p>
            <w:pPr>
              <w:pStyle w:val="GesAbsatz"/>
              <w:rPr>
                <w:rFonts w:ascii="Times New Roman" w:hAnsi="Times New Roman"/>
                <w:b/>
              </w:rPr>
            </w:pPr>
          </w:p>
        </w:tc>
        <w:tc>
          <w:tcPr>
            <w:tcW w:w="1751" w:type="dxa"/>
          </w:tcPr>
          <w:p>
            <w:pPr>
              <w:pStyle w:val="GesAbsatz"/>
              <w:rPr>
                <w:rFonts w:ascii="Times New Roman" w:hAnsi="Times New Roman"/>
                <w:b/>
              </w:rPr>
            </w:pPr>
            <w:r>
              <w:rPr>
                <w:b/>
                <w:szCs w:val="18"/>
              </w:rPr>
              <w:t>Abschnitt B</w:t>
            </w:r>
          </w:p>
        </w:tc>
        <w:tc>
          <w:tcPr>
            <w:tcW w:w="6720" w:type="dxa"/>
          </w:tcPr>
          <w:p>
            <w:pPr>
              <w:pStyle w:val="GesAbsatz"/>
              <w:rPr>
                <w:rFonts w:ascii="Times New Roman" w:hAnsi="Times New Roman"/>
                <w:b/>
              </w:rPr>
            </w:pPr>
          </w:p>
        </w:tc>
      </w:tr>
      <w:tr>
        <w:trPr>
          <w:gridAfter w:val="1"/>
          <w:wAfter w:w="60" w:type="dxa"/>
        </w:trPr>
        <w:tc>
          <w:tcPr>
            <w:tcW w:w="1129" w:type="dxa"/>
          </w:tcPr>
          <w:p>
            <w:pPr>
              <w:pStyle w:val="GesAbsatz"/>
              <w:rPr>
                <w:szCs w:val="18"/>
              </w:rPr>
            </w:pPr>
            <w:r>
              <w:rPr>
                <w:szCs w:val="18"/>
              </w:rPr>
              <w:t>1</w:t>
            </w:r>
          </w:p>
        </w:tc>
        <w:tc>
          <w:tcPr>
            <w:tcW w:w="1751" w:type="dxa"/>
          </w:tcPr>
          <w:p>
            <w:pPr>
              <w:pStyle w:val="GesAbsatz"/>
              <w:rPr>
                <w:rFonts w:ascii="Times New Roman" w:hAnsi="Times New Roman"/>
              </w:rPr>
            </w:pPr>
            <w:r>
              <w:t>Alloxydim</w:t>
            </w:r>
          </w:p>
        </w:tc>
        <w:tc>
          <w:tcPr>
            <w:tcW w:w="6720" w:type="dxa"/>
          </w:tcPr>
          <w:p>
            <w:pPr>
              <w:pStyle w:val="GesAbsatz"/>
              <w:rPr>
                <w:rFonts w:ascii="Times New Roman" w:hAnsi="Times New Roman"/>
              </w:rPr>
            </w:pPr>
          </w:p>
        </w:tc>
      </w:tr>
      <w:tr>
        <w:trPr>
          <w:gridAfter w:val="1"/>
          <w:wAfter w:w="60" w:type="dxa"/>
        </w:trPr>
        <w:tc>
          <w:tcPr>
            <w:tcW w:w="1129" w:type="dxa"/>
          </w:tcPr>
          <w:p>
            <w:pPr>
              <w:pStyle w:val="GesAbsatz"/>
              <w:rPr>
                <w:szCs w:val="18"/>
              </w:rPr>
            </w:pPr>
            <w:r>
              <w:rPr>
                <w:szCs w:val="18"/>
              </w:rPr>
              <w:lastRenderedPageBreak/>
              <w:t>2</w:t>
            </w:r>
          </w:p>
        </w:tc>
        <w:tc>
          <w:tcPr>
            <w:tcW w:w="1751" w:type="dxa"/>
          </w:tcPr>
          <w:p>
            <w:pPr>
              <w:pStyle w:val="GesAbsatz"/>
              <w:rPr>
                <w:rFonts w:ascii="Times New Roman" w:hAnsi="Times New Roman"/>
              </w:rPr>
            </w:pPr>
            <w:r>
              <w:t>Asulam</w:t>
            </w:r>
          </w:p>
        </w:tc>
        <w:tc>
          <w:tcPr>
            <w:tcW w:w="6720" w:type="dxa"/>
          </w:tcPr>
          <w:p>
            <w:pPr>
              <w:pStyle w:val="GesAbsatz"/>
              <w:rPr>
                <w:rFonts w:ascii="Times New Roman" w:hAnsi="Times New Roman"/>
              </w:rPr>
            </w:pPr>
          </w:p>
        </w:tc>
      </w:tr>
      <w:tr>
        <w:trPr>
          <w:gridAfter w:val="1"/>
          <w:wAfter w:w="60" w:type="dxa"/>
        </w:trPr>
        <w:tc>
          <w:tcPr>
            <w:tcW w:w="1129" w:type="dxa"/>
          </w:tcPr>
          <w:p>
            <w:pPr>
              <w:pStyle w:val="GesAbsatz"/>
              <w:rPr>
                <w:szCs w:val="18"/>
              </w:rPr>
            </w:pPr>
            <w:r>
              <w:rPr>
                <w:szCs w:val="18"/>
              </w:rPr>
              <w:t>3</w:t>
            </w:r>
          </w:p>
        </w:tc>
        <w:tc>
          <w:tcPr>
            <w:tcW w:w="1751" w:type="dxa"/>
          </w:tcPr>
          <w:p>
            <w:pPr>
              <w:pStyle w:val="GesAbsatz"/>
              <w:rPr>
                <w:rFonts w:ascii="Times New Roman" w:hAnsi="Times New Roman"/>
              </w:rPr>
            </w:pPr>
            <w:r>
              <w:t>Benalaxyl</w:t>
            </w:r>
          </w:p>
        </w:tc>
        <w:tc>
          <w:tcPr>
            <w:tcW w:w="6720" w:type="dxa"/>
          </w:tcPr>
          <w:p>
            <w:pPr>
              <w:pStyle w:val="GesAbsatz"/>
              <w:rPr>
                <w:rFonts w:ascii="Times New Roman" w:hAnsi="Times New Roman"/>
              </w:rPr>
            </w:pPr>
          </w:p>
        </w:tc>
      </w:tr>
      <w:tr>
        <w:trPr>
          <w:gridAfter w:val="1"/>
          <w:wAfter w:w="60" w:type="dxa"/>
        </w:trPr>
        <w:tc>
          <w:tcPr>
            <w:tcW w:w="1129" w:type="dxa"/>
          </w:tcPr>
          <w:p>
            <w:pPr>
              <w:pStyle w:val="GesAbsatz"/>
            </w:pPr>
            <w:r>
              <w:t>4</w:t>
            </w:r>
          </w:p>
        </w:tc>
        <w:tc>
          <w:tcPr>
            <w:tcW w:w="1751" w:type="dxa"/>
          </w:tcPr>
          <w:p>
            <w:pPr>
              <w:pStyle w:val="GesAbsatz"/>
            </w:pPr>
            <w:r>
              <w:t>Benazolin</w:t>
            </w:r>
          </w:p>
        </w:tc>
        <w:tc>
          <w:tcPr>
            <w:tcW w:w="6720" w:type="dxa"/>
          </w:tcPr>
          <w:p>
            <w:pPr>
              <w:pStyle w:val="GesAbsatz"/>
              <w:rPr>
                <w:rFonts w:ascii="Times New Roman" w:hAnsi="Times New Roman"/>
              </w:rPr>
            </w:pPr>
          </w:p>
        </w:tc>
      </w:tr>
      <w:tr>
        <w:trPr>
          <w:gridAfter w:val="1"/>
          <w:wAfter w:w="60" w:type="dxa"/>
        </w:trPr>
        <w:tc>
          <w:tcPr>
            <w:tcW w:w="1129" w:type="dxa"/>
          </w:tcPr>
          <w:p>
            <w:pPr>
              <w:pStyle w:val="GesAbsatz"/>
            </w:pPr>
            <w:r>
              <w:t>5</w:t>
            </w:r>
          </w:p>
        </w:tc>
        <w:tc>
          <w:tcPr>
            <w:tcW w:w="1751" w:type="dxa"/>
          </w:tcPr>
          <w:p>
            <w:pPr>
              <w:pStyle w:val="GesAbsatz"/>
            </w:pPr>
            <w:r>
              <w:t>Bendiocarb</w:t>
            </w:r>
          </w:p>
        </w:tc>
        <w:tc>
          <w:tcPr>
            <w:tcW w:w="6720" w:type="dxa"/>
          </w:tcPr>
          <w:p>
            <w:pPr>
              <w:pStyle w:val="GesAbsatz"/>
              <w:rPr>
                <w:rFonts w:ascii="Times New Roman" w:hAnsi="Times New Roman"/>
              </w:rPr>
            </w:pPr>
          </w:p>
        </w:tc>
      </w:tr>
      <w:tr>
        <w:trPr>
          <w:gridAfter w:val="1"/>
          <w:wAfter w:w="60" w:type="dxa"/>
        </w:trPr>
        <w:tc>
          <w:tcPr>
            <w:tcW w:w="1129" w:type="dxa"/>
          </w:tcPr>
          <w:p>
            <w:pPr>
              <w:pStyle w:val="GesAbsatz"/>
            </w:pPr>
            <w:r>
              <w:t>6</w:t>
            </w:r>
          </w:p>
        </w:tc>
        <w:tc>
          <w:tcPr>
            <w:tcW w:w="1751" w:type="dxa"/>
          </w:tcPr>
          <w:p>
            <w:pPr>
              <w:pStyle w:val="GesAbsatz"/>
            </w:pPr>
            <w:r>
              <w:t>Calciumcarbid</w:t>
            </w:r>
          </w:p>
        </w:tc>
        <w:tc>
          <w:tcPr>
            <w:tcW w:w="6720" w:type="dxa"/>
          </w:tcPr>
          <w:p>
            <w:pPr>
              <w:pStyle w:val="GesAbsatz"/>
              <w:rPr>
                <w:rFonts w:ascii="Times New Roman" w:hAnsi="Times New Roman"/>
              </w:rPr>
            </w:pPr>
          </w:p>
        </w:tc>
      </w:tr>
      <w:tr>
        <w:trPr>
          <w:gridAfter w:val="1"/>
          <w:wAfter w:w="60" w:type="dxa"/>
        </w:trPr>
        <w:tc>
          <w:tcPr>
            <w:tcW w:w="1129" w:type="dxa"/>
          </w:tcPr>
          <w:p>
            <w:pPr>
              <w:pStyle w:val="GesAbsatz"/>
            </w:pPr>
            <w:r>
              <w:t>7</w:t>
            </w:r>
          </w:p>
        </w:tc>
        <w:tc>
          <w:tcPr>
            <w:tcW w:w="1751" w:type="dxa"/>
          </w:tcPr>
          <w:p>
            <w:pPr>
              <w:pStyle w:val="GesAbsatz"/>
            </w:pPr>
            <w:r>
              <w:t>Chloramben</w:t>
            </w:r>
          </w:p>
        </w:tc>
        <w:tc>
          <w:tcPr>
            <w:tcW w:w="6720" w:type="dxa"/>
          </w:tcPr>
          <w:p>
            <w:pPr>
              <w:pStyle w:val="GesAbsatz"/>
              <w:rPr>
                <w:rFonts w:ascii="Times New Roman" w:hAnsi="Times New Roman"/>
              </w:rPr>
            </w:pPr>
          </w:p>
        </w:tc>
      </w:tr>
      <w:tr>
        <w:trPr>
          <w:gridAfter w:val="1"/>
          <w:wAfter w:w="60" w:type="dxa"/>
        </w:trPr>
        <w:tc>
          <w:tcPr>
            <w:tcW w:w="1129" w:type="dxa"/>
          </w:tcPr>
          <w:p>
            <w:pPr>
              <w:pStyle w:val="GesAbsatz"/>
            </w:pPr>
            <w:r>
              <w:t>8</w:t>
            </w:r>
          </w:p>
        </w:tc>
        <w:tc>
          <w:tcPr>
            <w:tcW w:w="1751" w:type="dxa"/>
          </w:tcPr>
          <w:p>
            <w:pPr>
              <w:pStyle w:val="GesAbsatz"/>
            </w:pPr>
            <w:r>
              <w:t>Chlorthiamid</w:t>
            </w:r>
          </w:p>
        </w:tc>
        <w:tc>
          <w:tcPr>
            <w:tcW w:w="6720" w:type="dxa"/>
          </w:tcPr>
          <w:p>
            <w:pPr>
              <w:pStyle w:val="GesAbsatz"/>
              <w:rPr>
                <w:rFonts w:ascii="Times New Roman" w:hAnsi="Times New Roman"/>
              </w:rPr>
            </w:pPr>
          </w:p>
        </w:tc>
      </w:tr>
      <w:tr>
        <w:trPr>
          <w:gridAfter w:val="1"/>
          <w:wAfter w:w="60" w:type="dxa"/>
        </w:trPr>
        <w:tc>
          <w:tcPr>
            <w:tcW w:w="1129" w:type="dxa"/>
          </w:tcPr>
          <w:p>
            <w:pPr>
              <w:pStyle w:val="GesAbsatz"/>
            </w:pPr>
            <w:r>
              <w:t>9</w:t>
            </w:r>
          </w:p>
        </w:tc>
        <w:tc>
          <w:tcPr>
            <w:tcW w:w="1751" w:type="dxa"/>
          </w:tcPr>
          <w:p>
            <w:pPr>
              <w:pStyle w:val="GesAbsatz"/>
            </w:pPr>
            <w:r>
              <w:t>Cyanazin</w:t>
            </w:r>
          </w:p>
        </w:tc>
        <w:tc>
          <w:tcPr>
            <w:tcW w:w="6720" w:type="dxa"/>
          </w:tcPr>
          <w:p>
            <w:pPr>
              <w:pStyle w:val="GesAbsatz"/>
              <w:rPr>
                <w:rFonts w:ascii="Times New Roman" w:hAnsi="Times New Roman"/>
              </w:rPr>
            </w:pPr>
          </w:p>
        </w:tc>
      </w:tr>
      <w:tr>
        <w:trPr>
          <w:gridAfter w:val="1"/>
          <w:wAfter w:w="60" w:type="dxa"/>
        </w:trPr>
        <w:tc>
          <w:tcPr>
            <w:tcW w:w="1129" w:type="dxa"/>
          </w:tcPr>
          <w:p>
            <w:pPr>
              <w:pStyle w:val="GesAbsatz"/>
            </w:pPr>
            <w:r>
              <w:t>10</w:t>
            </w:r>
          </w:p>
        </w:tc>
        <w:tc>
          <w:tcPr>
            <w:tcW w:w="1751" w:type="dxa"/>
          </w:tcPr>
          <w:p>
            <w:pPr>
              <w:pStyle w:val="GesAbsatz"/>
            </w:pPr>
            <w:r>
              <w:t>Diazinon</w:t>
            </w:r>
          </w:p>
        </w:tc>
        <w:tc>
          <w:tcPr>
            <w:tcW w:w="6720" w:type="dxa"/>
          </w:tcPr>
          <w:p>
            <w:pPr>
              <w:pStyle w:val="GesAbsatz"/>
              <w:rPr>
                <w:rFonts w:ascii="Times New Roman" w:hAnsi="Times New Roman"/>
              </w:rPr>
            </w:pPr>
          </w:p>
        </w:tc>
      </w:tr>
      <w:tr>
        <w:tc>
          <w:tcPr>
            <w:tcW w:w="1129" w:type="dxa"/>
          </w:tcPr>
          <w:p>
            <w:pPr>
              <w:pStyle w:val="GesAbsatz"/>
            </w:pPr>
            <w:r>
              <w:t>11</w:t>
            </w:r>
          </w:p>
        </w:tc>
        <w:tc>
          <w:tcPr>
            <w:tcW w:w="1751" w:type="dxa"/>
          </w:tcPr>
          <w:p>
            <w:pPr>
              <w:pStyle w:val="GesAbsatz"/>
            </w:pPr>
            <w:r>
              <w:t>Dichlobenil</w:t>
            </w:r>
          </w:p>
        </w:tc>
        <w:tc>
          <w:tcPr>
            <w:tcW w:w="6780" w:type="dxa"/>
            <w:gridSpan w:val="2"/>
          </w:tcPr>
          <w:p>
            <w:pPr>
              <w:pStyle w:val="GesAbsatz"/>
              <w:rPr>
                <w:rFonts w:ascii="Times New Roman" w:hAnsi="Times New Roman"/>
              </w:rPr>
            </w:pPr>
          </w:p>
        </w:tc>
      </w:tr>
      <w:tr>
        <w:tc>
          <w:tcPr>
            <w:tcW w:w="1129" w:type="dxa"/>
          </w:tcPr>
          <w:p>
            <w:pPr>
              <w:pStyle w:val="GesAbsatz"/>
            </w:pPr>
            <w:r>
              <w:t>12</w:t>
            </w:r>
          </w:p>
        </w:tc>
        <w:tc>
          <w:tcPr>
            <w:tcW w:w="1751" w:type="dxa"/>
          </w:tcPr>
          <w:p>
            <w:pPr>
              <w:pStyle w:val="GesAbsatz"/>
            </w:pPr>
            <w:r>
              <w:t>Dikegulac</w:t>
            </w:r>
          </w:p>
        </w:tc>
        <w:tc>
          <w:tcPr>
            <w:tcW w:w="6780" w:type="dxa"/>
            <w:gridSpan w:val="2"/>
          </w:tcPr>
          <w:p>
            <w:pPr>
              <w:pStyle w:val="GesAbsatz"/>
              <w:rPr>
                <w:rFonts w:ascii="Times New Roman" w:hAnsi="Times New Roman"/>
              </w:rPr>
            </w:pPr>
          </w:p>
        </w:tc>
      </w:tr>
      <w:tr>
        <w:tc>
          <w:tcPr>
            <w:tcW w:w="1129" w:type="dxa"/>
          </w:tcPr>
          <w:p>
            <w:pPr>
              <w:pStyle w:val="GesAbsatz"/>
            </w:pPr>
            <w:r>
              <w:t>13</w:t>
            </w:r>
          </w:p>
        </w:tc>
        <w:tc>
          <w:tcPr>
            <w:tcW w:w="1751" w:type="dxa"/>
          </w:tcPr>
          <w:p>
            <w:pPr>
              <w:pStyle w:val="GesAbsatz"/>
            </w:pPr>
            <w:r>
              <w:t>Ethidimuron</w:t>
            </w:r>
          </w:p>
        </w:tc>
        <w:tc>
          <w:tcPr>
            <w:tcW w:w="6780" w:type="dxa"/>
            <w:gridSpan w:val="2"/>
          </w:tcPr>
          <w:p>
            <w:pPr>
              <w:pStyle w:val="GesAbsatz"/>
              <w:rPr>
                <w:rFonts w:ascii="Times New Roman" w:hAnsi="Times New Roman"/>
              </w:rPr>
            </w:pPr>
          </w:p>
        </w:tc>
      </w:tr>
      <w:tr>
        <w:tc>
          <w:tcPr>
            <w:tcW w:w="1129" w:type="dxa"/>
          </w:tcPr>
          <w:p>
            <w:pPr>
              <w:pStyle w:val="GesAbsatz"/>
              <w:rPr>
                <w:lang w:val="fr-FR"/>
              </w:rPr>
            </w:pPr>
            <w:r>
              <w:rPr>
                <w:lang w:val="fr-FR"/>
              </w:rPr>
              <w:t>14</w:t>
            </w:r>
          </w:p>
        </w:tc>
        <w:tc>
          <w:tcPr>
            <w:tcW w:w="1751" w:type="dxa"/>
          </w:tcPr>
          <w:p>
            <w:pPr>
              <w:pStyle w:val="GesAbsatz"/>
              <w:rPr>
                <w:lang w:val="fr-FR"/>
              </w:rPr>
            </w:pPr>
            <w:r>
              <w:t>Ethiofencarb</w:t>
            </w:r>
          </w:p>
        </w:tc>
        <w:tc>
          <w:tcPr>
            <w:tcW w:w="6780" w:type="dxa"/>
            <w:gridSpan w:val="2"/>
          </w:tcPr>
          <w:p>
            <w:pPr>
              <w:pStyle w:val="GesAbsatz"/>
              <w:rPr>
                <w:rFonts w:ascii="Times New Roman" w:hAnsi="Times New Roman"/>
                <w:lang w:val="fr-FR"/>
              </w:rPr>
            </w:pPr>
          </w:p>
        </w:tc>
      </w:tr>
      <w:tr>
        <w:tc>
          <w:tcPr>
            <w:tcW w:w="1129" w:type="dxa"/>
          </w:tcPr>
          <w:p>
            <w:pPr>
              <w:pStyle w:val="GesAbsatz"/>
              <w:rPr>
                <w:lang w:val="fr-FR"/>
              </w:rPr>
            </w:pPr>
            <w:r>
              <w:rPr>
                <w:lang w:val="fr-FR"/>
              </w:rPr>
              <w:t>15</w:t>
            </w:r>
          </w:p>
        </w:tc>
        <w:tc>
          <w:tcPr>
            <w:tcW w:w="1751" w:type="dxa"/>
          </w:tcPr>
          <w:p>
            <w:pPr>
              <w:pStyle w:val="GesAbsatz"/>
              <w:rPr>
                <w:lang w:val="fr-FR"/>
              </w:rPr>
            </w:pPr>
            <w:r>
              <w:t>Ethoprophos</w:t>
            </w:r>
          </w:p>
        </w:tc>
        <w:tc>
          <w:tcPr>
            <w:tcW w:w="6780" w:type="dxa"/>
            <w:gridSpan w:val="2"/>
          </w:tcPr>
          <w:p>
            <w:pPr>
              <w:pStyle w:val="GesAbsatz"/>
              <w:rPr>
                <w:rFonts w:ascii="Times New Roman" w:hAnsi="Times New Roman"/>
                <w:lang w:val="fr-FR"/>
              </w:rPr>
            </w:pPr>
          </w:p>
        </w:tc>
      </w:tr>
      <w:tr>
        <w:tc>
          <w:tcPr>
            <w:tcW w:w="1129" w:type="dxa"/>
          </w:tcPr>
          <w:p>
            <w:pPr>
              <w:pStyle w:val="GesAbsatz"/>
              <w:rPr>
                <w:lang w:val="fr-FR"/>
              </w:rPr>
            </w:pPr>
            <w:r>
              <w:rPr>
                <w:lang w:val="fr-FR"/>
              </w:rPr>
              <w:t>16</w:t>
            </w:r>
          </w:p>
        </w:tc>
        <w:tc>
          <w:tcPr>
            <w:tcW w:w="1751" w:type="dxa"/>
          </w:tcPr>
          <w:p>
            <w:pPr>
              <w:pStyle w:val="GesAbsatz"/>
              <w:rPr>
                <w:lang w:val="fr-FR"/>
              </w:rPr>
            </w:pPr>
            <w:r>
              <w:t>Etrimfos</w:t>
            </w:r>
          </w:p>
        </w:tc>
        <w:tc>
          <w:tcPr>
            <w:tcW w:w="6780" w:type="dxa"/>
            <w:gridSpan w:val="2"/>
          </w:tcPr>
          <w:p>
            <w:pPr>
              <w:pStyle w:val="GesAbsatz"/>
              <w:rPr>
                <w:rFonts w:ascii="Times New Roman" w:hAnsi="Times New Roman"/>
                <w:lang w:val="fr-FR"/>
              </w:rPr>
            </w:pPr>
          </w:p>
        </w:tc>
      </w:tr>
      <w:tr>
        <w:tc>
          <w:tcPr>
            <w:tcW w:w="1129" w:type="dxa"/>
          </w:tcPr>
          <w:p>
            <w:pPr>
              <w:pStyle w:val="GesAbsatz"/>
              <w:rPr>
                <w:lang w:val="fr-FR"/>
              </w:rPr>
            </w:pPr>
            <w:r>
              <w:rPr>
                <w:lang w:val="fr-FR"/>
              </w:rPr>
              <w:t>17</w:t>
            </w:r>
          </w:p>
        </w:tc>
        <w:tc>
          <w:tcPr>
            <w:tcW w:w="1751" w:type="dxa"/>
          </w:tcPr>
          <w:p>
            <w:pPr>
              <w:pStyle w:val="GesAbsatz"/>
              <w:rPr>
                <w:lang w:val="fr-FR"/>
              </w:rPr>
            </w:pPr>
            <w:r>
              <w:t>Flamprop</w:t>
            </w:r>
          </w:p>
        </w:tc>
        <w:tc>
          <w:tcPr>
            <w:tcW w:w="6780" w:type="dxa"/>
            <w:gridSpan w:val="2"/>
          </w:tcPr>
          <w:p>
            <w:pPr>
              <w:pStyle w:val="GesAbsatz"/>
              <w:rPr>
                <w:rFonts w:ascii="Times New Roman" w:hAnsi="Times New Roman"/>
                <w:lang w:val="fr-FR"/>
              </w:rPr>
            </w:pPr>
          </w:p>
        </w:tc>
      </w:tr>
      <w:tr>
        <w:tc>
          <w:tcPr>
            <w:tcW w:w="1129" w:type="dxa"/>
          </w:tcPr>
          <w:p>
            <w:pPr>
              <w:pStyle w:val="GesAbsatz"/>
              <w:rPr>
                <w:lang w:val="fr-FR"/>
              </w:rPr>
            </w:pPr>
            <w:r>
              <w:rPr>
                <w:lang w:val="fr-FR"/>
              </w:rPr>
              <w:t>18</w:t>
            </w:r>
          </w:p>
        </w:tc>
        <w:tc>
          <w:tcPr>
            <w:tcW w:w="1751" w:type="dxa"/>
          </w:tcPr>
          <w:p>
            <w:pPr>
              <w:pStyle w:val="GesAbsatz"/>
              <w:rPr>
                <w:lang w:val="fr-FR"/>
              </w:rPr>
            </w:pPr>
            <w:r>
              <w:t>Hexazinon</w:t>
            </w:r>
          </w:p>
        </w:tc>
        <w:tc>
          <w:tcPr>
            <w:tcW w:w="6780" w:type="dxa"/>
            <w:gridSpan w:val="2"/>
          </w:tcPr>
          <w:p>
            <w:pPr>
              <w:pStyle w:val="GesAbsatz"/>
              <w:rPr>
                <w:rFonts w:ascii="Times New Roman" w:hAnsi="Times New Roman"/>
                <w:lang w:val="fr-FR"/>
              </w:rPr>
            </w:pPr>
          </w:p>
        </w:tc>
      </w:tr>
      <w:tr>
        <w:tc>
          <w:tcPr>
            <w:tcW w:w="1129" w:type="dxa"/>
          </w:tcPr>
          <w:p>
            <w:pPr>
              <w:pStyle w:val="GesAbsatz"/>
              <w:rPr>
                <w:lang w:val="fr-FR"/>
              </w:rPr>
            </w:pPr>
            <w:r>
              <w:rPr>
                <w:lang w:val="fr-FR"/>
              </w:rPr>
              <w:t>19</w:t>
            </w:r>
          </w:p>
        </w:tc>
        <w:tc>
          <w:tcPr>
            <w:tcW w:w="1751" w:type="dxa"/>
          </w:tcPr>
          <w:p>
            <w:pPr>
              <w:pStyle w:val="GesAbsatz"/>
              <w:rPr>
                <w:lang w:val="fr-FR"/>
              </w:rPr>
            </w:pPr>
            <w:r>
              <w:t>Isocarbamid</w:t>
            </w:r>
          </w:p>
        </w:tc>
        <w:tc>
          <w:tcPr>
            <w:tcW w:w="6780" w:type="dxa"/>
            <w:gridSpan w:val="2"/>
          </w:tcPr>
          <w:p>
            <w:pPr>
              <w:pStyle w:val="GesAbsatz"/>
              <w:rPr>
                <w:rFonts w:ascii="Times New Roman" w:hAnsi="Times New Roman"/>
                <w:lang w:val="fr-FR"/>
              </w:rPr>
            </w:pPr>
          </w:p>
        </w:tc>
      </w:tr>
      <w:tr>
        <w:tc>
          <w:tcPr>
            <w:tcW w:w="1129" w:type="dxa"/>
          </w:tcPr>
          <w:p>
            <w:pPr>
              <w:pStyle w:val="GesAbsatz"/>
              <w:rPr>
                <w:lang w:val="fr-FR"/>
              </w:rPr>
            </w:pPr>
            <w:r>
              <w:rPr>
                <w:lang w:val="fr-FR"/>
              </w:rPr>
              <w:t>20</w:t>
            </w:r>
          </w:p>
        </w:tc>
        <w:tc>
          <w:tcPr>
            <w:tcW w:w="1751" w:type="dxa"/>
          </w:tcPr>
          <w:p>
            <w:pPr>
              <w:pStyle w:val="GesAbsatz"/>
              <w:rPr>
                <w:lang w:val="fr-FR"/>
              </w:rPr>
            </w:pPr>
            <w:r>
              <w:t>Karbutilat</w:t>
            </w:r>
          </w:p>
        </w:tc>
        <w:tc>
          <w:tcPr>
            <w:tcW w:w="6780" w:type="dxa"/>
            <w:gridSpan w:val="2"/>
          </w:tcPr>
          <w:p>
            <w:pPr>
              <w:pStyle w:val="GesAbsatz"/>
              <w:rPr>
                <w:rFonts w:ascii="Times New Roman" w:hAnsi="Times New Roman"/>
                <w:lang w:val="fr-FR"/>
              </w:rPr>
            </w:pPr>
          </w:p>
        </w:tc>
      </w:tr>
      <w:tr>
        <w:tc>
          <w:tcPr>
            <w:tcW w:w="1129" w:type="dxa"/>
          </w:tcPr>
          <w:p>
            <w:pPr>
              <w:pStyle w:val="GesAbsatz"/>
            </w:pPr>
            <w:r>
              <w:t>21</w:t>
            </w:r>
          </w:p>
        </w:tc>
        <w:tc>
          <w:tcPr>
            <w:tcW w:w="1751" w:type="dxa"/>
          </w:tcPr>
          <w:p>
            <w:pPr>
              <w:pStyle w:val="GesAbsatz"/>
            </w:pPr>
            <w:r>
              <w:t>Mefluidid</w:t>
            </w:r>
          </w:p>
        </w:tc>
        <w:tc>
          <w:tcPr>
            <w:tcW w:w="6780" w:type="dxa"/>
            <w:gridSpan w:val="2"/>
          </w:tcPr>
          <w:p>
            <w:pPr>
              <w:pStyle w:val="GesAbsatz"/>
              <w:rPr>
                <w:rFonts w:ascii="Times New Roman" w:hAnsi="Times New Roman"/>
              </w:rPr>
            </w:pPr>
          </w:p>
        </w:tc>
      </w:tr>
      <w:tr>
        <w:tc>
          <w:tcPr>
            <w:tcW w:w="1129" w:type="dxa"/>
          </w:tcPr>
          <w:p>
            <w:pPr>
              <w:pStyle w:val="GesAbsatz"/>
            </w:pPr>
            <w:r>
              <w:t>22</w:t>
            </w:r>
          </w:p>
        </w:tc>
        <w:tc>
          <w:tcPr>
            <w:tcW w:w="1751" w:type="dxa"/>
          </w:tcPr>
          <w:p>
            <w:pPr>
              <w:pStyle w:val="GesAbsatz"/>
            </w:pPr>
            <w:r>
              <w:t>Methamidophos</w:t>
            </w:r>
          </w:p>
        </w:tc>
        <w:tc>
          <w:tcPr>
            <w:tcW w:w="6780" w:type="dxa"/>
            <w:gridSpan w:val="2"/>
          </w:tcPr>
          <w:p>
            <w:pPr>
              <w:pStyle w:val="GesAbsatz"/>
            </w:pPr>
            <w:r>
              <w:t>Die Beschränkung gilt nur für die Anwendung als Gießmittel.</w:t>
            </w:r>
          </w:p>
        </w:tc>
      </w:tr>
      <w:tr>
        <w:tc>
          <w:tcPr>
            <w:tcW w:w="1129" w:type="dxa"/>
          </w:tcPr>
          <w:p>
            <w:pPr>
              <w:pStyle w:val="GesAbsatz"/>
            </w:pPr>
            <w:r>
              <w:t>23</w:t>
            </w:r>
          </w:p>
        </w:tc>
        <w:tc>
          <w:tcPr>
            <w:tcW w:w="1751" w:type="dxa"/>
          </w:tcPr>
          <w:p>
            <w:pPr>
              <w:pStyle w:val="GesAbsatz"/>
            </w:pPr>
            <w:r>
              <w:t>Methomyl</w:t>
            </w:r>
          </w:p>
        </w:tc>
        <w:tc>
          <w:tcPr>
            <w:tcW w:w="6780" w:type="dxa"/>
            <w:gridSpan w:val="2"/>
          </w:tcPr>
          <w:p>
            <w:pPr>
              <w:pStyle w:val="GesAbsatz"/>
              <w:rPr>
                <w:rFonts w:ascii="Times New Roman" w:hAnsi="Times New Roman"/>
              </w:rPr>
            </w:pPr>
          </w:p>
        </w:tc>
      </w:tr>
      <w:tr>
        <w:tc>
          <w:tcPr>
            <w:tcW w:w="1129" w:type="dxa"/>
          </w:tcPr>
          <w:p>
            <w:pPr>
              <w:pStyle w:val="GesAbsatz"/>
            </w:pPr>
            <w:r>
              <w:t>24</w:t>
            </w:r>
          </w:p>
        </w:tc>
        <w:tc>
          <w:tcPr>
            <w:tcW w:w="1751" w:type="dxa"/>
          </w:tcPr>
          <w:p>
            <w:pPr>
              <w:pStyle w:val="GesAbsatz"/>
            </w:pPr>
            <w:r>
              <w:t>Monochlorbenzol</w:t>
            </w:r>
          </w:p>
        </w:tc>
        <w:tc>
          <w:tcPr>
            <w:tcW w:w="6780" w:type="dxa"/>
            <w:gridSpan w:val="2"/>
          </w:tcPr>
          <w:p>
            <w:pPr>
              <w:pStyle w:val="GesAbsatz"/>
              <w:rPr>
                <w:rFonts w:ascii="Times New Roman" w:hAnsi="Times New Roman"/>
              </w:rPr>
            </w:pPr>
          </w:p>
        </w:tc>
      </w:tr>
      <w:tr>
        <w:tc>
          <w:tcPr>
            <w:tcW w:w="1129" w:type="dxa"/>
          </w:tcPr>
          <w:p>
            <w:pPr>
              <w:pStyle w:val="GesAbsatz"/>
            </w:pPr>
            <w:r>
              <w:t>25</w:t>
            </w:r>
          </w:p>
        </w:tc>
        <w:tc>
          <w:tcPr>
            <w:tcW w:w="1751" w:type="dxa"/>
          </w:tcPr>
          <w:p>
            <w:pPr>
              <w:pStyle w:val="GesAbsatz"/>
            </w:pPr>
            <w:r>
              <w:t>Natriumchlorat</w:t>
            </w:r>
          </w:p>
        </w:tc>
        <w:tc>
          <w:tcPr>
            <w:tcW w:w="6780" w:type="dxa"/>
            <w:gridSpan w:val="2"/>
          </w:tcPr>
          <w:p>
            <w:pPr>
              <w:pStyle w:val="GesAbsatz"/>
              <w:rPr>
                <w:rFonts w:ascii="Times New Roman" w:hAnsi="Times New Roman"/>
              </w:rPr>
            </w:pPr>
          </w:p>
        </w:tc>
      </w:tr>
      <w:tr>
        <w:tc>
          <w:tcPr>
            <w:tcW w:w="1129" w:type="dxa"/>
          </w:tcPr>
          <w:p>
            <w:pPr>
              <w:pStyle w:val="GesAbsatz"/>
            </w:pPr>
            <w:r>
              <w:t>26</w:t>
            </w:r>
          </w:p>
        </w:tc>
        <w:tc>
          <w:tcPr>
            <w:tcW w:w="1751" w:type="dxa"/>
          </w:tcPr>
          <w:p>
            <w:pPr>
              <w:pStyle w:val="GesAbsatz"/>
            </w:pPr>
            <w:r>
              <w:t>Nitrothal-isopropyl</w:t>
            </w:r>
          </w:p>
        </w:tc>
        <w:tc>
          <w:tcPr>
            <w:tcW w:w="6780" w:type="dxa"/>
            <w:gridSpan w:val="2"/>
          </w:tcPr>
          <w:p>
            <w:pPr>
              <w:pStyle w:val="GesAbsatz"/>
              <w:rPr>
                <w:rFonts w:ascii="Times New Roman" w:hAnsi="Times New Roman"/>
              </w:rPr>
            </w:pPr>
          </w:p>
        </w:tc>
      </w:tr>
      <w:tr>
        <w:tc>
          <w:tcPr>
            <w:tcW w:w="1129" w:type="dxa"/>
          </w:tcPr>
          <w:p>
            <w:pPr>
              <w:pStyle w:val="GesAbsatz"/>
            </w:pPr>
            <w:r>
              <w:t>27</w:t>
            </w:r>
          </w:p>
        </w:tc>
        <w:tc>
          <w:tcPr>
            <w:tcW w:w="1751" w:type="dxa"/>
          </w:tcPr>
          <w:p>
            <w:pPr>
              <w:pStyle w:val="GesAbsatz"/>
            </w:pPr>
            <w:r>
              <w:t>Obstbaumkarbolineum</w:t>
            </w:r>
            <w:r>
              <w:br/>
              <w:t>(Anthracenöl)</w:t>
            </w:r>
          </w:p>
        </w:tc>
        <w:tc>
          <w:tcPr>
            <w:tcW w:w="6780" w:type="dxa"/>
            <w:gridSpan w:val="2"/>
          </w:tcPr>
          <w:p>
            <w:pPr>
              <w:pStyle w:val="GesAbsatz"/>
              <w:rPr>
                <w:rFonts w:ascii="Times New Roman" w:hAnsi="Times New Roman"/>
              </w:rPr>
            </w:pPr>
          </w:p>
        </w:tc>
      </w:tr>
      <w:tr>
        <w:tc>
          <w:tcPr>
            <w:tcW w:w="1129" w:type="dxa"/>
          </w:tcPr>
          <w:p>
            <w:pPr>
              <w:pStyle w:val="GesAbsatz"/>
            </w:pPr>
            <w:r>
              <w:t>28</w:t>
            </w:r>
          </w:p>
        </w:tc>
        <w:tc>
          <w:tcPr>
            <w:tcW w:w="1751" w:type="dxa"/>
          </w:tcPr>
          <w:p>
            <w:pPr>
              <w:pStyle w:val="GesAbsatz"/>
            </w:pPr>
            <w:r>
              <w:t>Oxadixyl</w:t>
            </w:r>
          </w:p>
        </w:tc>
        <w:tc>
          <w:tcPr>
            <w:tcW w:w="6780" w:type="dxa"/>
            <w:gridSpan w:val="2"/>
          </w:tcPr>
          <w:p>
            <w:pPr>
              <w:pStyle w:val="GesAbsatz"/>
              <w:rPr>
                <w:rFonts w:ascii="Times New Roman" w:hAnsi="Times New Roman"/>
              </w:rPr>
            </w:pPr>
          </w:p>
        </w:tc>
      </w:tr>
      <w:tr>
        <w:tc>
          <w:tcPr>
            <w:tcW w:w="1129" w:type="dxa"/>
          </w:tcPr>
          <w:p>
            <w:pPr>
              <w:pStyle w:val="GesAbsatz"/>
            </w:pPr>
            <w:r>
              <w:t>29</w:t>
            </w:r>
          </w:p>
        </w:tc>
        <w:tc>
          <w:tcPr>
            <w:tcW w:w="1751" w:type="dxa"/>
          </w:tcPr>
          <w:p>
            <w:pPr>
              <w:pStyle w:val="GesAbsatz"/>
            </w:pPr>
            <w:r>
              <w:t>Oxamyl</w:t>
            </w:r>
          </w:p>
        </w:tc>
        <w:tc>
          <w:tcPr>
            <w:tcW w:w="6780" w:type="dxa"/>
            <w:gridSpan w:val="2"/>
          </w:tcPr>
          <w:p>
            <w:pPr>
              <w:pStyle w:val="GesAbsatz"/>
              <w:rPr>
                <w:rFonts w:ascii="Times New Roman" w:hAnsi="Times New Roman"/>
              </w:rPr>
            </w:pPr>
          </w:p>
        </w:tc>
      </w:tr>
      <w:tr>
        <w:tc>
          <w:tcPr>
            <w:tcW w:w="1129" w:type="dxa"/>
          </w:tcPr>
          <w:p>
            <w:pPr>
              <w:pStyle w:val="GesAbsatz"/>
            </w:pPr>
            <w:r>
              <w:t>30</w:t>
            </w:r>
          </w:p>
        </w:tc>
        <w:tc>
          <w:tcPr>
            <w:tcW w:w="1751" w:type="dxa"/>
          </w:tcPr>
          <w:p>
            <w:pPr>
              <w:pStyle w:val="GesAbsatz"/>
            </w:pPr>
            <w:r>
              <w:t>Oxycarboxin</w:t>
            </w:r>
          </w:p>
        </w:tc>
        <w:tc>
          <w:tcPr>
            <w:tcW w:w="6780" w:type="dxa"/>
            <w:gridSpan w:val="2"/>
          </w:tcPr>
          <w:p>
            <w:pPr>
              <w:pStyle w:val="GesAbsatz"/>
              <w:rPr>
                <w:rFonts w:ascii="Times New Roman" w:hAnsi="Times New Roman"/>
              </w:rPr>
            </w:pPr>
          </w:p>
        </w:tc>
      </w:tr>
      <w:tr>
        <w:tc>
          <w:tcPr>
            <w:tcW w:w="1129" w:type="dxa"/>
          </w:tcPr>
          <w:p>
            <w:pPr>
              <w:pStyle w:val="GesAbsatz"/>
              <w:rPr>
                <w:lang w:val="it-IT"/>
              </w:rPr>
            </w:pPr>
            <w:r>
              <w:rPr>
                <w:lang w:val="it-IT"/>
              </w:rPr>
              <w:t>31</w:t>
            </w:r>
          </w:p>
        </w:tc>
        <w:tc>
          <w:tcPr>
            <w:tcW w:w="1751" w:type="dxa"/>
          </w:tcPr>
          <w:p>
            <w:pPr>
              <w:pStyle w:val="GesAbsatz"/>
            </w:pPr>
            <w:r>
              <w:t>(weggefallen)</w:t>
            </w:r>
          </w:p>
        </w:tc>
        <w:tc>
          <w:tcPr>
            <w:tcW w:w="6780" w:type="dxa"/>
            <w:gridSpan w:val="2"/>
          </w:tcPr>
          <w:p>
            <w:pPr>
              <w:pStyle w:val="GesAbsatz"/>
              <w:rPr>
                <w:rFonts w:ascii="Times New Roman" w:hAnsi="Times New Roman"/>
                <w:lang w:val="it-IT"/>
              </w:rPr>
            </w:pPr>
          </w:p>
        </w:tc>
      </w:tr>
      <w:tr>
        <w:tc>
          <w:tcPr>
            <w:tcW w:w="1129" w:type="dxa"/>
          </w:tcPr>
          <w:p>
            <w:pPr>
              <w:pStyle w:val="GesAbsatz"/>
              <w:rPr>
                <w:lang w:val="it-IT"/>
              </w:rPr>
            </w:pPr>
            <w:r>
              <w:rPr>
                <w:lang w:val="it-IT"/>
              </w:rPr>
              <w:t>32</w:t>
            </w:r>
          </w:p>
        </w:tc>
        <w:tc>
          <w:tcPr>
            <w:tcW w:w="1751" w:type="dxa"/>
          </w:tcPr>
          <w:p>
            <w:pPr>
              <w:pStyle w:val="GesAbsatz"/>
              <w:rPr>
                <w:lang w:val="it-IT"/>
              </w:rPr>
            </w:pPr>
            <w:r>
              <w:t>Propachlor</w:t>
            </w:r>
          </w:p>
        </w:tc>
        <w:tc>
          <w:tcPr>
            <w:tcW w:w="6780" w:type="dxa"/>
            <w:gridSpan w:val="2"/>
          </w:tcPr>
          <w:p>
            <w:pPr>
              <w:pStyle w:val="GesAbsatz"/>
              <w:rPr>
                <w:rFonts w:ascii="Times New Roman" w:hAnsi="Times New Roman"/>
                <w:lang w:val="it-IT"/>
              </w:rPr>
            </w:pPr>
          </w:p>
        </w:tc>
      </w:tr>
      <w:tr>
        <w:tc>
          <w:tcPr>
            <w:tcW w:w="1129" w:type="dxa"/>
          </w:tcPr>
          <w:p>
            <w:pPr>
              <w:pStyle w:val="GesAbsatz"/>
              <w:rPr>
                <w:lang w:val="it-IT"/>
              </w:rPr>
            </w:pPr>
            <w:r>
              <w:rPr>
                <w:lang w:val="it-IT"/>
              </w:rPr>
              <w:t>33</w:t>
            </w:r>
          </w:p>
        </w:tc>
        <w:tc>
          <w:tcPr>
            <w:tcW w:w="1751" w:type="dxa"/>
          </w:tcPr>
          <w:p>
            <w:pPr>
              <w:pStyle w:val="GesAbsatz"/>
              <w:rPr>
                <w:lang w:val="it-IT"/>
              </w:rPr>
            </w:pPr>
            <w:r>
              <w:t>Propazin</w:t>
            </w:r>
          </w:p>
        </w:tc>
        <w:tc>
          <w:tcPr>
            <w:tcW w:w="6780" w:type="dxa"/>
            <w:gridSpan w:val="2"/>
          </w:tcPr>
          <w:p>
            <w:pPr>
              <w:pStyle w:val="GesAbsatz"/>
              <w:rPr>
                <w:rFonts w:ascii="Times New Roman" w:hAnsi="Times New Roman"/>
                <w:lang w:val="it-IT"/>
              </w:rPr>
            </w:pPr>
          </w:p>
        </w:tc>
      </w:tr>
      <w:tr>
        <w:tc>
          <w:tcPr>
            <w:tcW w:w="1129" w:type="dxa"/>
          </w:tcPr>
          <w:p>
            <w:pPr>
              <w:pStyle w:val="GesAbsatz"/>
              <w:rPr>
                <w:lang w:val="en-GB"/>
              </w:rPr>
            </w:pPr>
            <w:r>
              <w:rPr>
                <w:lang w:val="en-GB"/>
              </w:rPr>
              <w:t>34</w:t>
            </w:r>
          </w:p>
        </w:tc>
        <w:tc>
          <w:tcPr>
            <w:tcW w:w="1751" w:type="dxa"/>
          </w:tcPr>
          <w:p>
            <w:pPr>
              <w:pStyle w:val="GesAbsatz"/>
              <w:rPr>
                <w:lang w:val="en-GB"/>
              </w:rPr>
            </w:pPr>
            <w:r>
              <w:t>Prothoat</w:t>
            </w:r>
          </w:p>
        </w:tc>
        <w:tc>
          <w:tcPr>
            <w:tcW w:w="6780" w:type="dxa"/>
            <w:gridSpan w:val="2"/>
          </w:tcPr>
          <w:p>
            <w:pPr>
              <w:pStyle w:val="GesAbsatz"/>
              <w:rPr>
                <w:rFonts w:ascii="Times New Roman" w:hAnsi="Times New Roman"/>
                <w:lang w:val="en-GB"/>
              </w:rPr>
            </w:pPr>
          </w:p>
        </w:tc>
      </w:tr>
      <w:tr>
        <w:tc>
          <w:tcPr>
            <w:tcW w:w="1129" w:type="dxa"/>
          </w:tcPr>
          <w:p>
            <w:pPr>
              <w:pStyle w:val="GesAbsatz"/>
              <w:rPr>
                <w:lang w:val="en-GB"/>
              </w:rPr>
            </w:pPr>
            <w:r>
              <w:rPr>
                <w:lang w:val="en-GB"/>
              </w:rPr>
              <w:t>35</w:t>
            </w:r>
          </w:p>
        </w:tc>
        <w:tc>
          <w:tcPr>
            <w:tcW w:w="1751" w:type="dxa"/>
          </w:tcPr>
          <w:p>
            <w:pPr>
              <w:pStyle w:val="GesAbsatz"/>
              <w:rPr>
                <w:lang w:val="en-GB"/>
              </w:rPr>
            </w:pPr>
            <w:r>
              <w:t>S 421 (Synergist)</w:t>
            </w:r>
          </w:p>
        </w:tc>
        <w:tc>
          <w:tcPr>
            <w:tcW w:w="6780" w:type="dxa"/>
            <w:gridSpan w:val="2"/>
          </w:tcPr>
          <w:p>
            <w:pPr>
              <w:pStyle w:val="GesAbsatz"/>
              <w:rPr>
                <w:rFonts w:ascii="Times New Roman" w:hAnsi="Times New Roman"/>
                <w:lang w:val="en-GB"/>
              </w:rPr>
            </w:pPr>
          </w:p>
        </w:tc>
      </w:tr>
      <w:tr>
        <w:tc>
          <w:tcPr>
            <w:tcW w:w="1129" w:type="dxa"/>
          </w:tcPr>
          <w:p>
            <w:pPr>
              <w:pStyle w:val="GesAbsatz"/>
              <w:rPr>
                <w:lang w:val="en-GB"/>
              </w:rPr>
            </w:pPr>
            <w:r>
              <w:rPr>
                <w:lang w:val="en-GB"/>
              </w:rPr>
              <w:lastRenderedPageBreak/>
              <w:t>36</w:t>
            </w:r>
          </w:p>
        </w:tc>
        <w:tc>
          <w:tcPr>
            <w:tcW w:w="1751" w:type="dxa"/>
          </w:tcPr>
          <w:p>
            <w:pPr>
              <w:pStyle w:val="GesAbsatz"/>
              <w:rPr>
                <w:lang w:val="en-GB"/>
              </w:rPr>
            </w:pPr>
            <w:r>
              <w:t>Sethoxydim</w:t>
            </w:r>
          </w:p>
        </w:tc>
        <w:tc>
          <w:tcPr>
            <w:tcW w:w="6780" w:type="dxa"/>
            <w:gridSpan w:val="2"/>
          </w:tcPr>
          <w:p>
            <w:pPr>
              <w:pStyle w:val="GesAbsatz"/>
              <w:rPr>
                <w:rFonts w:ascii="Times New Roman" w:hAnsi="Times New Roman"/>
                <w:lang w:val="en-GB"/>
              </w:rPr>
            </w:pPr>
          </w:p>
        </w:tc>
      </w:tr>
      <w:tr>
        <w:tc>
          <w:tcPr>
            <w:tcW w:w="1129" w:type="dxa"/>
          </w:tcPr>
          <w:p>
            <w:pPr>
              <w:pStyle w:val="GesAbsatz"/>
              <w:rPr>
                <w:lang w:val="en-GB"/>
              </w:rPr>
            </w:pPr>
            <w:r>
              <w:rPr>
                <w:lang w:val="en-GB"/>
              </w:rPr>
              <w:t>37</w:t>
            </w:r>
          </w:p>
        </w:tc>
        <w:tc>
          <w:tcPr>
            <w:tcW w:w="1751" w:type="dxa"/>
          </w:tcPr>
          <w:p>
            <w:pPr>
              <w:pStyle w:val="GesAbsatz"/>
              <w:rPr>
                <w:lang w:val="en-GB"/>
              </w:rPr>
            </w:pPr>
            <w:r>
              <w:t>Simazin</w:t>
            </w:r>
          </w:p>
        </w:tc>
        <w:tc>
          <w:tcPr>
            <w:tcW w:w="6780" w:type="dxa"/>
            <w:gridSpan w:val="2"/>
          </w:tcPr>
          <w:p>
            <w:pPr>
              <w:pStyle w:val="GesAbsatz"/>
              <w:rPr>
                <w:rFonts w:ascii="Times New Roman" w:hAnsi="Times New Roman"/>
                <w:lang w:val="en-GB"/>
              </w:rPr>
            </w:pPr>
          </w:p>
        </w:tc>
      </w:tr>
      <w:tr>
        <w:tc>
          <w:tcPr>
            <w:tcW w:w="1129" w:type="dxa"/>
          </w:tcPr>
          <w:p>
            <w:pPr>
              <w:pStyle w:val="GesAbsatz"/>
              <w:rPr>
                <w:lang w:val="en-GB"/>
              </w:rPr>
            </w:pPr>
            <w:r>
              <w:rPr>
                <w:lang w:val="en-GB"/>
              </w:rPr>
              <w:t>38</w:t>
            </w:r>
          </w:p>
        </w:tc>
        <w:tc>
          <w:tcPr>
            <w:tcW w:w="1751" w:type="dxa"/>
          </w:tcPr>
          <w:p>
            <w:pPr>
              <w:pStyle w:val="GesAbsatz"/>
              <w:rPr>
                <w:lang w:val="en-GB"/>
              </w:rPr>
            </w:pPr>
            <w:r>
              <w:t>TCA</w:t>
            </w:r>
          </w:p>
        </w:tc>
        <w:tc>
          <w:tcPr>
            <w:tcW w:w="6780" w:type="dxa"/>
            <w:gridSpan w:val="2"/>
          </w:tcPr>
          <w:p>
            <w:pPr>
              <w:pStyle w:val="GesAbsatz"/>
              <w:rPr>
                <w:rFonts w:ascii="Times New Roman" w:hAnsi="Times New Roman"/>
                <w:lang w:val="en-GB"/>
              </w:rPr>
            </w:pPr>
          </w:p>
        </w:tc>
      </w:tr>
      <w:tr>
        <w:tc>
          <w:tcPr>
            <w:tcW w:w="1129" w:type="dxa"/>
          </w:tcPr>
          <w:p>
            <w:pPr>
              <w:pStyle w:val="GesAbsatz"/>
              <w:rPr>
                <w:lang w:val="en-GB"/>
              </w:rPr>
            </w:pPr>
            <w:r>
              <w:rPr>
                <w:lang w:val="en-GB"/>
              </w:rPr>
              <w:t>39</w:t>
            </w:r>
          </w:p>
        </w:tc>
        <w:tc>
          <w:tcPr>
            <w:tcW w:w="1751" w:type="dxa"/>
          </w:tcPr>
          <w:p>
            <w:pPr>
              <w:pStyle w:val="GesAbsatz"/>
              <w:rPr>
                <w:lang w:val="en-GB"/>
              </w:rPr>
            </w:pPr>
            <w:r>
              <w:t>Tebuthiuron</w:t>
            </w:r>
          </w:p>
        </w:tc>
        <w:tc>
          <w:tcPr>
            <w:tcW w:w="6780" w:type="dxa"/>
            <w:gridSpan w:val="2"/>
          </w:tcPr>
          <w:p>
            <w:pPr>
              <w:pStyle w:val="GesAbsatz"/>
              <w:rPr>
                <w:rFonts w:ascii="Times New Roman" w:hAnsi="Times New Roman"/>
                <w:lang w:val="en-GB"/>
              </w:rPr>
            </w:pPr>
          </w:p>
        </w:tc>
      </w:tr>
      <w:tr>
        <w:tc>
          <w:tcPr>
            <w:tcW w:w="1129" w:type="dxa"/>
          </w:tcPr>
          <w:p>
            <w:pPr>
              <w:pStyle w:val="GesAbsatz"/>
              <w:rPr>
                <w:lang w:val="en-GB"/>
              </w:rPr>
            </w:pPr>
            <w:r>
              <w:rPr>
                <w:lang w:val="en-GB"/>
              </w:rPr>
              <w:t>40</w:t>
            </w:r>
          </w:p>
        </w:tc>
        <w:tc>
          <w:tcPr>
            <w:tcW w:w="1751" w:type="dxa"/>
          </w:tcPr>
          <w:p>
            <w:pPr>
              <w:pStyle w:val="GesAbsatz"/>
              <w:rPr>
                <w:lang w:val="en-GB"/>
              </w:rPr>
            </w:pPr>
            <w:r>
              <w:t>Terbacil</w:t>
            </w:r>
          </w:p>
        </w:tc>
        <w:tc>
          <w:tcPr>
            <w:tcW w:w="6780" w:type="dxa"/>
            <w:gridSpan w:val="2"/>
          </w:tcPr>
          <w:p>
            <w:pPr>
              <w:pStyle w:val="GesAbsatz"/>
              <w:rPr>
                <w:rFonts w:ascii="Times New Roman" w:hAnsi="Times New Roman"/>
                <w:lang w:val="en-GB"/>
              </w:rPr>
            </w:pPr>
          </w:p>
        </w:tc>
      </w:tr>
      <w:tr>
        <w:tc>
          <w:tcPr>
            <w:tcW w:w="1129" w:type="dxa"/>
          </w:tcPr>
          <w:p>
            <w:pPr>
              <w:pStyle w:val="GesAbsatz"/>
              <w:rPr>
                <w:lang w:val="en-GB"/>
              </w:rPr>
            </w:pPr>
            <w:r>
              <w:rPr>
                <w:lang w:val="en-GB"/>
              </w:rPr>
              <w:t>41</w:t>
            </w:r>
          </w:p>
        </w:tc>
        <w:tc>
          <w:tcPr>
            <w:tcW w:w="1751" w:type="dxa"/>
          </w:tcPr>
          <w:p>
            <w:pPr>
              <w:pStyle w:val="GesAbsatz"/>
              <w:rPr>
                <w:lang w:val="en-GB"/>
              </w:rPr>
            </w:pPr>
            <w:r>
              <w:t>Terbumeton</w:t>
            </w:r>
          </w:p>
        </w:tc>
        <w:tc>
          <w:tcPr>
            <w:tcW w:w="6780" w:type="dxa"/>
            <w:gridSpan w:val="2"/>
          </w:tcPr>
          <w:p>
            <w:pPr>
              <w:pStyle w:val="GesAbsatz"/>
              <w:rPr>
                <w:rFonts w:ascii="Times New Roman" w:hAnsi="Times New Roman"/>
                <w:lang w:val="en-GB"/>
              </w:rPr>
            </w:pPr>
          </w:p>
        </w:tc>
      </w:tr>
      <w:tr>
        <w:tc>
          <w:tcPr>
            <w:tcW w:w="1129" w:type="dxa"/>
          </w:tcPr>
          <w:p>
            <w:pPr>
              <w:pStyle w:val="GesAbsatz"/>
              <w:rPr>
                <w:lang w:val="en-GB"/>
              </w:rPr>
            </w:pPr>
            <w:r>
              <w:rPr>
                <w:lang w:val="en-GB"/>
              </w:rPr>
              <w:t>42</w:t>
            </w:r>
          </w:p>
        </w:tc>
        <w:tc>
          <w:tcPr>
            <w:tcW w:w="1751" w:type="dxa"/>
          </w:tcPr>
          <w:p>
            <w:pPr>
              <w:pStyle w:val="GesAbsatz"/>
              <w:rPr>
                <w:lang w:val="en-GB"/>
              </w:rPr>
            </w:pPr>
            <w:r>
              <w:t>Thiazafluron</w:t>
            </w:r>
          </w:p>
        </w:tc>
        <w:tc>
          <w:tcPr>
            <w:tcW w:w="6780" w:type="dxa"/>
            <w:gridSpan w:val="2"/>
          </w:tcPr>
          <w:p>
            <w:pPr>
              <w:pStyle w:val="GesAbsatz"/>
              <w:rPr>
                <w:rFonts w:ascii="Times New Roman" w:hAnsi="Times New Roman"/>
                <w:lang w:val="en-GB"/>
              </w:rPr>
            </w:pPr>
          </w:p>
        </w:tc>
      </w:tr>
      <w:tr>
        <w:tc>
          <w:tcPr>
            <w:tcW w:w="1129" w:type="dxa"/>
          </w:tcPr>
          <w:p>
            <w:pPr>
              <w:pStyle w:val="GesAbsatz"/>
              <w:rPr>
                <w:lang w:val="en-GB"/>
              </w:rPr>
            </w:pPr>
            <w:r>
              <w:rPr>
                <w:lang w:val="en-GB"/>
              </w:rPr>
              <w:t>43</w:t>
            </w:r>
          </w:p>
        </w:tc>
        <w:tc>
          <w:tcPr>
            <w:tcW w:w="1751" w:type="dxa"/>
          </w:tcPr>
          <w:p>
            <w:pPr>
              <w:pStyle w:val="GesAbsatz"/>
              <w:rPr>
                <w:lang w:val="en-GB"/>
              </w:rPr>
            </w:pPr>
            <w:r>
              <w:t>Thiofanox</w:t>
            </w:r>
          </w:p>
        </w:tc>
        <w:tc>
          <w:tcPr>
            <w:tcW w:w="6780" w:type="dxa"/>
            <w:gridSpan w:val="2"/>
          </w:tcPr>
          <w:p>
            <w:pPr>
              <w:pStyle w:val="GesAbsatz"/>
              <w:rPr>
                <w:rFonts w:ascii="Times New Roman" w:hAnsi="Times New Roman"/>
                <w:lang w:val="en-GB"/>
              </w:rPr>
            </w:pPr>
          </w:p>
        </w:tc>
      </w:tr>
    </w:tbl>
    <w:p>
      <w:pPr>
        <w:pStyle w:val="GesAbsatz"/>
        <w:rPr>
          <w:lang w:val="en-GB"/>
        </w:rPr>
      </w:pPr>
    </w:p>
    <w:p>
      <w:pPr>
        <w:pStyle w:val="GesAbsatz"/>
        <w:rPr>
          <w:lang w:val="en-GB"/>
        </w:rPr>
      </w:pPr>
    </w:p>
    <w:p>
      <w:pPr>
        <w:pStyle w:val="berschrift2"/>
        <w:jc w:val="left"/>
      </w:pPr>
      <w:bookmarkStart w:id="20" w:name="_Toc193196134"/>
      <w:r>
        <w:t>Anlage 4 (zu § 3a)</w:t>
      </w:r>
      <w:bookmarkEnd w:id="20"/>
    </w:p>
    <w:p>
      <w:pPr>
        <w:pStyle w:val="GesAbsatz"/>
      </w:pPr>
    </w:p>
    <w:p>
      <w:pPr>
        <w:tabs>
          <w:tab w:val="clear" w:pos="425"/>
          <w:tab w:val="left" w:pos="284"/>
          <w:tab w:val="right" w:pos="2708"/>
          <w:tab w:val="left" w:pos="3600"/>
        </w:tabs>
        <w:jc w:val="center"/>
        <w:rPr>
          <w:b/>
        </w:rPr>
      </w:pPr>
      <w:r>
        <w:rPr>
          <w:b/>
        </w:rPr>
        <w:t>Besondere Abgabebedingungen</w:t>
      </w: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338"/>
        <w:gridCol w:w="6762"/>
      </w:tblGrid>
      <w:tr>
        <w:tc>
          <w:tcPr>
            <w:tcW w:w="1560" w:type="dxa"/>
          </w:tcPr>
          <w:p>
            <w:pPr>
              <w:pStyle w:val="GesAbsatz"/>
            </w:pPr>
            <w:r>
              <w:t>Nummer</w:t>
            </w:r>
          </w:p>
        </w:tc>
        <w:tc>
          <w:tcPr>
            <w:tcW w:w="1338" w:type="dxa"/>
          </w:tcPr>
          <w:p>
            <w:pPr>
              <w:pStyle w:val="GesAbsatz"/>
            </w:pPr>
            <w:r>
              <w:t>Stoff</w:t>
            </w:r>
          </w:p>
        </w:tc>
        <w:tc>
          <w:tcPr>
            <w:tcW w:w="6762" w:type="dxa"/>
          </w:tcPr>
          <w:p>
            <w:pPr>
              <w:pStyle w:val="GesAbsatz"/>
            </w:pPr>
          </w:p>
        </w:tc>
      </w:tr>
      <w:tr>
        <w:tc>
          <w:tcPr>
            <w:tcW w:w="1560" w:type="dxa"/>
          </w:tcPr>
          <w:p>
            <w:pPr>
              <w:pStyle w:val="GesAbsatz"/>
            </w:pPr>
            <w:r>
              <w:t>1</w:t>
            </w:r>
          </w:p>
        </w:tc>
        <w:tc>
          <w:tcPr>
            <w:tcW w:w="1338" w:type="dxa"/>
          </w:tcPr>
          <w:p>
            <w:pPr>
              <w:pStyle w:val="GesAbsatz"/>
            </w:pPr>
            <w:r>
              <w:t>2</w:t>
            </w:r>
          </w:p>
        </w:tc>
        <w:tc>
          <w:tcPr>
            <w:tcW w:w="6762" w:type="dxa"/>
          </w:tcPr>
          <w:p>
            <w:pPr>
              <w:pStyle w:val="GesAbsatz"/>
            </w:pPr>
          </w:p>
        </w:tc>
      </w:tr>
      <w:tr>
        <w:tc>
          <w:tcPr>
            <w:tcW w:w="1560" w:type="dxa"/>
          </w:tcPr>
          <w:p>
            <w:pPr>
              <w:pStyle w:val="GesAbsatz"/>
            </w:pPr>
            <w:r>
              <w:t>1</w:t>
            </w:r>
          </w:p>
        </w:tc>
        <w:tc>
          <w:tcPr>
            <w:tcW w:w="1338" w:type="dxa"/>
          </w:tcPr>
          <w:p>
            <w:pPr>
              <w:pStyle w:val="GesAbsatz"/>
            </w:pPr>
            <w:r>
              <w:t>Diuron</w:t>
            </w:r>
          </w:p>
        </w:tc>
        <w:tc>
          <w:tcPr>
            <w:tcW w:w="6762" w:type="dxa"/>
          </w:tcPr>
          <w:p>
            <w:pPr>
              <w:pStyle w:val="GesAbsatz"/>
            </w:pPr>
          </w:p>
        </w:tc>
      </w:tr>
      <w:tr>
        <w:tc>
          <w:tcPr>
            <w:tcW w:w="1560" w:type="dxa"/>
          </w:tcPr>
          <w:p>
            <w:pPr>
              <w:pStyle w:val="GesAbsatz"/>
            </w:pPr>
            <w:r>
              <w:t>2</w:t>
            </w:r>
          </w:p>
        </w:tc>
        <w:tc>
          <w:tcPr>
            <w:tcW w:w="1338" w:type="dxa"/>
          </w:tcPr>
          <w:p>
            <w:pPr>
              <w:pStyle w:val="GesAbsatz"/>
            </w:pPr>
            <w:r>
              <w:t>Glyphosat</w:t>
            </w:r>
          </w:p>
        </w:tc>
        <w:tc>
          <w:tcPr>
            <w:tcW w:w="6762" w:type="dxa"/>
          </w:tcPr>
          <w:p>
            <w:pPr>
              <w:pStyle w:val="GesAbsatz"/>
            </w:pPr>
          </w:p>
        </w:tc>
      </w:tr>
    </w:tbl>
    <w:p>
      <w:pPr>
        <w:pStyle w:val="GesAbsatz"/>
      </w:pPr>
    </w:p>
    <w:p>
      <w:pPr>
        <w:pStyle w:val="GesAbsatz"/>
      </w:pPr>
    </w:p>
    <w:p>
      <w:pPr>
        <w:tabs>
          <w:tab w:val="clear" w:pos="425"/>
          <w:tab w:val="left" w:pos="284"/>
          <w:tab w:val="right" w:pos="2708"/>
          <w:tab w:val="left" w:pos="3600"/>
        </w:tabs>
      </w:pPr>
    </w:p>
    <w:p>
      <w:pPr>
        <w:tabs>
          <w:tab w:val="clear" w:pos="425"/>
          <w:tab w:val="left" w:pos="284"/>
          <w:tab w:val="right" w:pos="2708"/>
          <w:tab w:val="left" w:pos="3600"/>
        </w:tabs>
      </w:pPr>
    </w:p>
    <w:p>
      <w:pPr>
        <w:tabs>
          <w:tab w:val="clear" w:pos="425"/>
          <w:tab w:val="left" w:pos="284"/>
          <w:tab w:val="right" w:pos="2708"/>
          <w:tab w:val="left" w:pos="3600"/>
        </w:tabs>
      </w:pPr>
    </w:p>
    <w:p>
      <w:pPr>
        <w:tabs>
          <w:tab w:val="clear" w:pos="425"/>
          <w:tab w:val="left" w:pos="284"/>
          <w:tab w:val="right" w:pos="2708"/>
          <w:tab w:val="left" w:pos="3600"/>
        </w:tabs>
      </w:pPr>
    </w:p>
    <w:p>
      <w:pPr>
        <w:tabs>
          <w:tab w:val="clear" w:pos="425"/>
          <w:tab w:val="left" w:pos="284"/>
          <w:tab w:val="right" w:pos="2708"/>
          <w:tab w:val="left" w:pos="3600"/>
        </w:tabs>
      </w:pPr>
    </w:p>
    <w:p>
      <w:pPr>
        <w:tabs>
          <w:tab w:val="clear" w:pos="425"/>
          <w:tab w:val="left" w:pos="284"/>
          <w:tab w:val="right" w:pos="2708"/>
          <w:tab w:val="left" w:pos="3600"/>
        </w:tabs>
        <w:rPr>
          <w:sz w:val="22"/>
          <w:szCs w:val="22"/>
        </w:rPr>
      </w:pPr>
      <w:bookmarkStart w:id="21" w:name="Gesetzeshistorie"/>
      <w:bookmarkEnd w:id="21"/>
      <w:r>
        <w:rPr>
          <w:b/>
          <w:sz w:val="22"/>
          <w:szCs w:val="22"/>
        </w:rPr>
        <w:t>Änderungen:</w:t>
      </w:r>
    </w:p>
    <w:p>
      <w:pPr>
        <w:tabs>
          <w:tab w:val="clear" w:pos="425"/>
          <w:tab w:val="left" w:pos="284"/>
        </w:tabs>
        <w:ind w:left="2268" w:hanging="2268"/>
        <w:rPr>
          <w:lang w:val="it-IT"/>
        </w:rPr>
      </w:pPr>
      <w:r>
        <w:rPr>
          <w:lang w:val="it-IT"/>
        </w:rPr>
        <w:t>03.08.1993</w:t>
      </w:r>
      <w:r>
        <w:rPr>
          <w:lang w:val="it-IT"/>
        </w:rPr>
        <w:tab/>
      </w:r>
      <w:hyperlink r:id="rId9" w:history="1">
        <w:r>
          <w:rPr>
            <w:rStyle w:val="Hyperlink"/>
            <w:lang w:val="it-IT"/>
          </w:rPr>
          <w:t>BGBl. I S. 1455</w:t>
        </w:r>
      </w:hyperlink>
    </w:p>
    <w:p>
      <w:pPr>
        <w:tabs>
          <w:tab w:val="clear" w:pos="425"/>
          <w:tab w:val="left" w:pos="284"/>
        </w:tabs>
        <w:ind w:left="2268" w:hanging="2268"/>
        <w:rPr>
          <w:lang w:val="it-IT"/>
        </w:rPr>
      </w:pPr>
      <w:r>
        <w:rPr>
          <w:lang w:val="it-IT"/>
        </w:rPr>
        <w:t>25.07.1994</w:t>
      </w:r>
      <w:r>
        <w:rPr>
          <w:lang w:val="it-IT"/>
        </w:rPr>
        <w:tab/>
      </w:r>
      <w:hyperlink r:id="rId10" w:history="1">
        <w:r>
          <w:rPr>
            <w:rStyle w:val="Hyperlink"/>
            <w:lang w:val="it-IT"/>
          </w:rPr>
          <w:t>BGBl. I S. 1689, 1700</w:t>
        </w:r>
      </w:hyperlink>
    </w:p>
    <w:p>
      <w:pPr>
        <w:tabs>
          <w:tab w:val="clear" w:pos="425"/>
          <w:tab w:val="left" w:pos="284"/>
        </w:tabs>
        <w:ind w:left="2268" w:hanging="2268"/>
        <w:rPr>
          <w:lang w:val="it-IT"/>
        </w:rPr>
      </w:pPr>
      <w:r>
        <w:rPr>
          <w:lang w:val="it-IT"/>
        </w:rPr>
        <w:t>24.01.1997</w:t>
      </w:r>
      <w:r>
        <w:rPr>
          <w:lang w:val="it-IT"/>
        </w:rPr>
        <w:tab/>
      </w:r>
      <w:hyperlink r:id="rId11" w:history="1">
        <w:r>
          <w:rPr>
            <w:rStyle w:val="Hyperlink"/>
            <w:lang w:val="it-IT"/>
          </w:rPr>
          <w:t>BGBl. I S. 60</w:t>
        </w:r>
      </w:hyperlink>
    </w:p>
    <w:p>
      <w:pPr>
        <w:tabs>
          <w:tab w:val="clear" w:pos="425"/>
          <w:tab w:val="left" w:pos="284"/>
        </w:tabs>
        <w:ind w:left="2268" w:hanging="2268"/>
        <w:rPr>
          <w:lang w:val="it-IT"/>
        </w:rPr>
      </w:pPr>
      <w:r>
        <w:rPr>
          <w:lang w:val="it-IT"/>
        </w:rPr>
        <w:t>27.10.1999</w:t>
      </w:r>
      <w:r>
        <w:rPr>
          <w:lang w:val="it-IT"/>
        </w:rPr>
        <w:tab/>
      </w:r>
      <w:hyperlink r:id="rId12" w:history="1">
        <w:r>
          <w:rPr>
            <w:rStyle w:val="Hyperlink"/>
            <w:lang w:val="it-IT"/>
          </w:rPr>
          <w:t>BGBl. I Nr. 48, S. 2070, 2071</w:t>
        </w:r>
      </w:hyperlink>
      <w:r>
        <w:rPr>
          <w:lang w:val="it-IT"/>
        </w:rPr>
        <w:t xml:space="preserve"> Inkrafttreten 30.10.1999</w:t>
      </w:r>
    </w:p>
    <w:p>
      <w:pPr>
        <w:tabs>
          <w:tab w:val="clear" w:pos="425"/>
          <w:tab w:val="left" w:pos="284"/>
        </w:tabs>
        <w:ind w:left="2268" w:hanging="2268"/>
        <w:rPr>
          <w:lang w:val="it-IT"/>
        </w:rPr>
      </w:pPr>
      <w:r>
        <w:rPr>
          <w:lang w:val="it-IT"/>
        </w:rPr>
        <w:t>25.03.2002</w:t>
      </w:r>
      <w:r>
        <w:rPr>
          <w:lang w:val="it-IT"/>
        </w:rPr>
        <w:tab/>
      </w:r>
      <w:hyperlink r:id="rId13" w:history="1">
        <w:r>
          <w:rPr>
            <w:rStyle w:val="Hyperlink"/>
            <w:lang w:val="it-IT"/>
          </w:rPr>
          <w:t>BGBl. I Nr. 22, S. 1193, 1217</w:t>
        </w:r>
      </w:hyperlink>
      <w:r>
        <w:rPr>
          <w:lang w:val="it-IT"/>
        </w:rPr>
        <w:t xml:space="preserve"> Inkrafttreten 4.4.2002</w:t>
      </w:r>
    </w:p>
    <w:p>
      <w:pPr>
        <w:tabs>
          <w:tab w:val="clear" w:pos="425"/>
          <w:tab w:val="left" w:pos="284"/>
        </w:tabs>
        <w:ind w:left="2268" w:hanging="2268"/>
      </w:pPr>
      <w:r>
        <w:t>06.08.2002</w:t>
      </w:r>
      <w:r>
        <w:tab/>
      </w:r>
      <w:hyperlink r:id="rId14" w:history="1">
        <w:r>
          <w:rPr>
            <w:rStyle w:val="Hyperlink"/>
          </w:rPr>
          <w:t>BGBl. I Nr. 57, S. 3082, 3093</w:t>
        </w:r>
      </w:hyperlink>
      <w:r>
        <w:t xml:space="preserve"> Inkrafttreten 1.11.2002</w:t>
      </w:r>
    </w:p>
    <w:p>
      <w:pPr>
        <w:tabs>
          <w:tab w:val="clear" w:pos="425"/>
          <w:tab w:val="left" w:pos="284"/>
        </w:tabs>
        <w:ind w:left="2268" w:hanging="2268"/>
      </w:pPr>
      <w:r>
        <w:t>23.07.2003</w:t>
      </w:r>
      <w:r>
        <w:tab/>
      </w:r>
      <w:hyperlink r:id="rId15" w:history="1">
        <w:r>
          <w:rPr>
            <w:rStyle w:val="Hyperlink"/>
          </w:rPr>
          <w:t>BGBl. I Nr. 38, S. 1533</w:t>
        </w:r>
      </w:hyperlink>
      <w:r>
        <w:t xml:space="preserve"> Inkrafttreten 1.8.2003</w:t>
      </w:r>
    </w:p>
    <w:p>
      <w:pPr>
        <w:tabs>
          <w:tab w:val="clear" w:pos="425"/>
          <w:tab w:val="left" w:pos="284"/>
        </w:tabs>
        <w:ind w:left="2268" w:hanging="2268"/>
      </w:pPr>
      <w:r>
        <w:t>29.07.2009</w:t>
      </w:r>
      <w:r>
        <w:tab/>
      </w:r>
      <w:hyperlink r:id="rId16" w:history="1">
        <w:r>
          <w:rPr>
            <w:rStyle w:val="Hyperlink"/>
          </w:rPr>
          <w:t>BGBl. I Nr. 51 S. 2542, 2576</w:t>
        </w:r>
      </w:hyperlink>
      <w:r>
        <w:t xml:space="preserve"> Inkrafttreten 01.03.2010</w:t>
      </w:r>
    </w:p>
    <w:p>
      <w:pPr>
        <w:pStyle w:val="GesAbsatz"/>
        <w:ind w:left="2268" w:hanging="2268"/>
        <w:rPr>
          <w:snapToGrid w:val="0"/>
        </w:rPr>
      </w:pPr>
      <w:r>
        <w:rPr>
          <w:snapToGrid w:val="0"/>
        </w:rPr>
        <w:t>20.12.2011</w:t>
      </w:r>
      <w:r>
        <w:rPr>
          <w:snapToGrid w:val="0"/>
        </w:rPr>
        <w:tab/>
      </w:r>
      <w:hyperlink r:id="rId17" w:history="1">
        <w:r>
          <w:rPr>
            <w:rStyle w:val="Hyperlink"/>
            <w:snapToGrid w:val="0"/>
          </w:rPr>
          <w:t>BGBl. I Nr. 69 S. 2927, 2934</w:t>
        </w:r>
      </w:hyperlink>
      <w:r>
        <w:rPr>
          <w:snapToGrid w:val="0"/>
        </w:rPr>
        <w:t xml:space="preserve"> Inkrafttreten 01.04.2012</w:t>
      </w:r>
    </w:p>
    <w:p>
      <w:pPr>
        <w:pStyle w:val="GesAbsatz"/>
        <w:ind w:left="2268" w:hanging="2268"/>
        <w:rPr>
          <w:snapToGrid w:val="0"/>
        </w:rPr>
      </w:pPr>
      <w:r>
        <w:rPr>
          <w:snapToGrid w:val="0"/>
        </w:rPr>
        <w:t>10.10.2012</w:t>
      </w:r>
      <w:r>
        <w:rPr>
          <w:snapToGrid w:val="0"/>
        </w:rPr>
        <w:tab/>
      </w:r>
      <w:hyperlink r:id="rId18" w:history="1">
        <w:r>
          <w:rPr>
            <w:rStyle w:val="Hyperlink"/>
            <w:snapToGrid w:val="0"/>
          </w:rPr>
          <w:t>BGBl. I Nr. 47 S. 2113</w:t>
        </w:r>
      </w:hyperlink>
      <w:r>
        <w:rPr>
          <w:snapToGrid w:val="0"/>
        </w:rPr>
        <w:t xml:space="preserve"> Inkrafttreten 17.10.2012</w:t>
      </w:r>
    </w:p>
    <w:p>
      <w:pPr>
        <w:tabs>
          <w:tab w:val="clear" w:pos="425"/>
          <w:tab w:val="left" w:pos="284"/>
        </w:tabs>
        <w:ind w:left="2268" w:hanging="2268"/>
        <w:rPr>
          <w:snapToGrid w:val="0"/>
        </w:rPr>
      </w:pPr>
      <w:r>
        <w:t>27.06.2013</w:t>
      </w:r>
      <w:r>
        <w:tab/>
      </w:r>
      <w:hyperlink r:id="rId19" w:history="1">
        <w:r>
          <w:rPr>
            <w:rStyle w:val="Hyperlink"/>
          </w:rPr>
          <w:t>BGBl. I Nr. 34 S. 1953, 1973</w:t>
        </w:r>
      </w:hyperlink>
      <w:r>
        <w:t xml:space="preserve"> </w:t>
      </w:r>
      <w:r>
        <w:rPr>
          <w:snapToGrid w:val="0"/>
        </w:rPr>
        <w:t>Inkrafttreten 06.07.2013</w:t>
      </w:r>
    </w:p>
    <w:p>
      <w:pPr>
        <w:tabs>
          <w:tab w:val="clear" w:pos="425"/>
          <w:tab w:val="left" w:pos="284"/>
        </w:tabs>
        <w:ind w:left="2268" w:hanging="2268"/>
        <w:rPr>
          <w:snapToGrid w:val="0"/>
        </w:rPr>
      </w:pPr>
      <w:r>
        <w:rPr>
          <w:snapToGrid w:val="0"/>
        </w:rPr>
        <w:t>25.11.2013</w:t>
      </w:r>
      <w:r>
        <w:rPr>
          <w:snapToGrid w:val="0"/>
        </w:rPr>
        <w:tab/>
      </w:r>
      <w:hyperlink r:id="rId20" w:history="1">
        <w:r>
          <w:rPr>
            <w:rStyle w:val="Hyperlink"/>
            <w:snapToGrid w:val="0"/>
          </w:rPr>
          <w:t>BGBl. I Nr. 68 S. 4020</w:t>
        </w:r>
      </w:hyperlink>
      <w:r>
        <w:rPr>
          <w:snapToGrid w:val="0"/>
        </w:rPr>
        <w:t xml:space="preserve"> Inkrafttreten 01.12.2013</w:t>
      </w:r>
    </w:p>
    <w:p>
      <w:pPr>
        <w:tabs>
          <w:tab w:val="clear" w:pos="425"/>
          <w:tab w:val="left" w:pos="284"/>
        </w:tabs>
        <w:ind w:left="2268" w:hanging="2268"/>
        <w:jc w:val="left"/>
        <w:rPr>
          <w:snapToGrid w:val="0"/>
        </w:rPr>
      </w:pPr>
      <w:r>
        <w:t>02.09.2021</w:t>
      </w:r>
      <w:r>
        <w:tab/>
      </w:r>
      <w:hyperlink r:id="rId21" w:history="1">
        <w:r>
          <w:rPr>
            <w:rStyle w:val="Hyperlink"/>
            <w:snapToGrid w:val="0"/>
          </w:rPr>
          <w:t>BGBl. I Nr. 62 S. 4111</w:t>
        </w:r>
      </w:hyperlink>
      <w:r>
        <w:rPr>
          <w:snapToGrid w:val="0"/>
        </w:rPr>
        <w:t xml:space="preserve"> Inkrafttreten 08.09.2021</w:t>
      </w:r>
      <w:r>
        <w:rPr>
          <w:snapToGrid w:val="0"/>
        </w:rPr>
        <w:br/>
        <w:t>Artikel 1 Fünfte Verordnung zur Änderung der Pflanzenschutz-Anwendungsverordnung</w:t>
      </w:r>
    </w:p>
    <w:p>
      <w:pPr>
        <w:tabs>
          <w:tab w:val="clear" w:pos="425"/>
          <w:tab w:val="left" w:pos="284"/>
        </w:tabs>
        <w:ind w:left="2268" w:hanging="2268"/>
        <w:jc w:val="left"/>
        <w:rPr>
          <w:snapToGrid w:val="0"/>
        </w:rPr>
      </w:pPr>
      <w:r>
        <w:t>02.09.2021</w:t>
      </w:r>
      <w:r>
        <w:tab/>
      </w:r>
      <w:hyperlink r:id="rId22" w:history="1">
        <w:r>
          <w:rPr>
            <w:rStyle w:val="Hyperlink"/>
            <w:snapToGrid w:val="0"/>
          </w:rPr>
          <w:t>BGBl. I Nr. 62 S. 4111, 4113</w:t>
        </w:r>
      </w:hyperlink>
      <w:r>
        <w:rPr>
          <w:snapToGrid w:val="0"/>
        </w:rPr>
        <w:t xml:space="preserve"> Inkrafttreten 01.01.2024</w:t>
      </w:r>
      <w:r>
        <w:rPr>
          <w:snapToGrid w:val="0"/>
        </w:rPr>
        <w:br/>
        <w:t>Artikel 2 Fünfte Verordnung zur Änderung der Pflanzenschutz-Anwendungsverordnung</w:t>
      </w:r>
    </w:p>
    <w:p>
      <w:pPr>
        <w:tabs>
          <w:tab w:val="clear" w:pos="425"/>
          <w:tab w:val="left" w:pos="284"/>
        </w:tabs>
        <w:ind w:left="2268" w:hanging="2268"/>
        <w:jc w:val="left"/>
        <w:rPr>
          <w:snapToGrid w:val="0"/>
        </w:rPr>
      </w:pPr>
      <w:r>
        <w:t>01.06.2022</w:t>
      </w:r>
      <w:r>
        <w:tab/>
      </w:r>
      <w:hyperlink r:id="rId23" w:history="1">
        <w:r>
          <w:rPr>
            <w:rStyle w:val="Hyperlink"/>
            <w:snapToGrid w:val="0"/>
          </w:rPr>
          <w:t>BGBl. I Nr. 19 S. 867</w:t>
        </w:r>
      </w:hyperlink>
      <w:r>
        <w:rPr>
          <w:snapToGrid w:val="0"/>
        </w:rPr>
        <w:t xml:space="preserve"> Inkrafttreten 18.06.2022</w:t>
      </w:r>
      <w:r>
        <w:rPr>
          <w:snapToGrid w:val="0"/>
        </w:rPr>
        <w:br/>
        <w:t>Artikel 1 Sechste Verordnung zur Änderung der Pflanzenschutz-Anwendungsverordnung</w:t>
      </w:r>
    </w:p>
    <w:p>
      <w:pPr>
        <w:tabs>
          <w:tab w:val="clear" w:pos="425"/>
          <w:tab w:val="left" w:pos="284"/>
        </w:tabs>
        <w:ind w:left="2268" w:hanging="2268"/>
        <w:jc w:val="left"/>
        <w:rPr>
          <w:snapToGrid w:val="0"/>
        </w:rPr>
      </w:pPr>
      <w:r>
        <w:t>01.06.2022</w:t>
      </w:r>
      <w:r>
        <w:tab/>
      </w:r>
      <w:hyperlink r:id="rId24" w:history="1">
        <w:r>
          <w:rPr>
            <w:rStyle w:val="Hyperlink"/>
            <w:snapToGrid w:val="0"/>
          </w:rPr>
          <w:t>BGBl. I Nr. 19 S. 867</w:t>
        </w:r>
      </w:hyperlink>
      <w:r>
        <w:rPr>
          <w:snapToGrid w:val="0"/>
        </w:rPr>
        <w:t xml:space="preserve"> Inkrafttreten 01.01.2024</w:t>
      </w:r>
      <w:r>
        <w:rPr>
          <w:snapToGrid w:val="0"/>
        </w:rPr>
        <w:br/>
        <w:t>Artikel 2 Sechste Verordnung zur Änderung der Pflanzenschutz-Anwendungsverordnung</w:t>
      </w:r>
    </w:p>
    <w:p>
      <w:pPr>
        <w:tabs>
          <w:tab w:val="clear" w:pos="425"/>
          <w:tab w:val="left" w:pos="284"/>
        </w:tabs>
        <w:ind w:left="2268" w:hanging="2268"/>
        <w:jc w:val="left"/>
      </w:pPr>
      <w:r>
        <w:t>24.06.2024</w:t>
      </w:r>
      <w:r>
        <w:tab/>
      </w:r>
      <w:hyperlink r:id="rId25" w:history="1">
        <w:r>
          <w:rPr>
            <w:rStyle w:val="Hyperlink"/>
            <w:snapToGrid w:val="0"/>
          </w:rPr>
          <w:t>BGBl. I 2024 Nr. 216</w:t>
        </w:r>
      </w:hyperlink>
      <w:r>
        <w:rPr>
          <w:snapToGrid w:val="0"/>
        </w:rPr>
        <w:t xml:space="preserve"> Inkrafttreten 01.07.2024</w:t>
      </w:r>
      <w:r>
        <w:rPr>
          <w:snapToGrid w:val="0"/>
        </w:rPr>
        <w:br/>
      </w:r>
      <w:r>
        <w:t>Artikel 3 Verordnung zur Änderung der Pflanzenschutz-Anwendungsverordnung und zur Änderung der Fünften und Sechsten Verordnung zur Änderung der Pflanzenschutz-Anwendungsverordnung</w:t>
      </w:r>
    </w:p>
    <w:p>
      <w:pPr>
        <w:tabs>
          <w:tab w:val="clear" w:pos="425"/>
          <w:tab w:val="left" w:pos="284"/>
        </w:tabs>
        <w:ind w:left="2268" w:hanging="2268"/>
        <w:jc w:val="left"/>
      </w:pPr>
    </w:p>
    <w:p>
      <w:pPr>
        <w:tabs>
          <w:tab w:val="clear" w:pos="425"/>
          <w:tab w:val="left" w:pos="284"/>
          <w:tab w:val="left" w:pos="2835"/>
        </w:tabs>
      </w:pPr>
    </w:p>
    <w:sectPr>
      <w:headerReference w:type="default" r:id="rId26"/>
      <w:footerReference w:type="even" r:id="rId27"/>
      <w:footerReference w:type="default" r:id="rId28"/>
      <w:type w:val="continuous"/>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pPr>
    <w:r>
      <w:fldChar w:fldCharType="begin"/>
    </w:r>
    <w:r>
      <w:instrText xml:space="preserve">PAGE  </w:instrText>
    </w:r>
    <w: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10.11.1992 (BGBl. I S. 1887 / FNA 7823-5-9)</w:t>
    </w:r>
    <w:r>
      <w:tab/>
      <w:t xml:space="preserve">Seite </w:t>
    </w:r>
    <w:r>
      <w:fldChar w:fldCharType="begin"/>
    </w:r>
    <w:r>
      <w:instrText xml:space="preserve"> PAGE  \* MERGEFORMAT </w:instrText>
    </w:r>
    <w:r>
      <w:fldChar w:fldCharType="separate"/>
    </w:r>
    <w:r>
      <w:rPr>
        <w:noProof/>
      </w:rPr>
      <w:t>1</w:t>
    </w:r>
    <w:r>
      <w:fldChar w:fldCharType="end"/>
    </w:r>
  </w:p>
  <w:p>
    <w:pPr>
      <w:pStyle w:val="Fuzeile"/>
      <w:rPr>
        <w:lang w:val="en-GB"/>
      </w:rPr>
    </w:pPr>
    <w:r>
      <w:tab/>
      <w:t xml:space="preserve">Stand 24.06.2024 (BGBl. 2024 </w:t>
    </w:r>
    <w:r>
      <w:rPr>
        <w:lang w:val="en-GB"/>
      </w:rPr>
      <w:t xml:space="preserve">I </w:t>
    </w:r>
    <w:proofErr w:type="spellStart"/>
    <w:r>
      <w:rPr>
        <w:lang w:val="en-GB"/>
      </w:rPr>
      <w:t>Nr</w:t>
    </w:r>
    <w:proofErr w:type="spellEnd"/>
    <w:r>
      <w:rPr>
        <w:lang w:val="en-GB"/>
      </w:rPr>
      <w:t>. 216)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53.1-03</w:t>
    </w:r>
  </w:p>
  <w:p>
    <w:pPr>
      <w:pStyle w:val="Kopfzeile"/>
    </w:pPr>
    <w:r>
      <w:t>PflSchAnwV</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2685"/>
    <w:multiLevelType w:val="singleLevel"/>
    <w:tmpl w:val="43A0D878"/>
    <w:lvl w:ilvl="0">
      <w:start w:val="1"/>
      <w:numFmt w:val="decimal"/>
      <w:lvlText w:val="%1."/>
      <w:legacy w:legacy="1" w:legacySpace="0" w:legacyIndent="283"/>
      <w:lvlJc w:val="left"/>
      <w:pPr>
        <w:ind w:left="283" w:hanging="283"/>
      </w:pPr>
    </w:lvl>
  </w:abstractNum>
  <w:abstractNum w:abstractNumId="1" w15:restartNumberingAfterBreak="0">
    <w:nsid w:val="0CAF4FA3"/>
    <w:multiLevelType w:val="hybridMultilevel"/>
    <w:tmpl w:val="A92CA02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3903B0B"/>
    <w:multiLevelType w:val="singleLevel"/>
    <w:tmpl w:val="8CBEBC04"/>
    <w:lvl w:ilvl="0">
      <w:start w:val="1"/>
      <w:numFmt w:val="decimal"/>
      <w:lvlText w:val="%1."/>
      <w:legacy w:legacy="1" w:legacySpace="0" w:legacyIndent="284"/>
      <w:lvlJc w:val="left"/>
      <w:pPr>
        <w:ind w:left="284" w:hanging="284"/>
      </w:pPr>
    </w:lvl>
  </w:abstractNum>
  <w:abstractNum w:abstractNumId="3" w15:restartNumberingAfterBreak="0">
    <w:nsid w:val="158249C7"/>
    <w:multiLevelType w:val="singleLevel"/>
    <w:tmpl w:val="33E65C54"/>
    <w:lvl w:ilvl="0">
      <w:start w:val="1"/>
      <w:numFmt w:val="lowerLetter"/>
      <w:lvlText w:val="%1)"/>
      <w:legacy w:legacy="1" w:legacySpace="0" w:legacyIndent="283"/>
      <w:lvlJc w:val="left"/>
      <w:pPr>
        <w:ind w:left="567" w:hanging="283"/>
      </w:pPr>
    </w:lvl>
  </w:abstractNum>
  <w:abstractNum w:abstractNumId="4" w15:restartNumberingAfterBreak="0">
    <w:nsid w:val="1C022C8F"/>
    <w:multiLevelType w:val="hybridMultilevel"/>
    <w:tmpl w:val="491AC54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FC62360"/>
    <w:multiLevelType w:val="hybridMultilevel"/>
    <w:tmpl w:val="AC7EDA4E"/>
    <w:lvl w:ilvl="0" w:tplc="D3FE5D42">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23A64293"/>
    <w:multiLevelType w:val="hybridMultilevel"/>
    <w:tmpl w:val="A7F6FB74"/>
    <w:lvl w:ilvl="0" w:tplc="D3FE5D42">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27E07959"/>
    <w:multiLevelType w:val="singleLevel"/>
    <w:tmpl w:val="290AE6F6"/>
    <w:lvl w:ilvl="0">
      <w:start w:val="1"/>
      <w:numFmt w:val="lowerLetter"/>
      <w:lvlText w:val="%1)"/>
      <w:legacy w:legacy="1" w:legacySpace="0" w:legacyIndent="283"/>
      <w:lvlJc w:val="left"/>
      <w:pPr>
        <w:ind w:left="567" w:hanging="283"/>
      </w:pPr>
    </w:lvl>
  </w:abstractNum>
  <w:abstractNum w:abstractNumId="8" w15:restartNumberingAfterBreak="0">
    <w:nsid w:val="29D766CC"/>
    <w:multiLevelType w:val="hybridMultilevel"/>
    <w:tmpl w:val="CB3C3B4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A564D37"/>
    <w:multiLevelType w:val="hybridMultilevel"/>
    <w:tmpl w:val="12E8CBF4"/>
    <w:lvl w:ilvl="0" w:tplc="D3FE5D42">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2EAD61A7"/>
    <w:multiLevelType w:val="singleLevel"/>
    <w:tmpl w:val="43A0D878"/>
    <w:lvl w:ilvl="0">
      <w:start w:val="1"/>
      <w:numFmt w:val="decimal"/>
      <w:lvlText w:val="%1."/>
      <w:legacy w:legacy="1" w:legacySpace="0" w:legacyIndent="283"/>
      <w:lvlJc w:val="left"/>
      <w:pPr>
        <w:ind w:left="283" w:hanging="283"/>
      </w:pPr>
    </w:lvl>
  </w:abstractNum>
  <w:abstractNum w:abstractNumId="11" w15:restartNumberingAfterBreak="0">
    <w:nsid w:val="426F4D76"/>
    <w:multiLevelType w:val="hybridMultilevel"/>
    <w:tmpl w:val="F6ACB4E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4EF97272"/>
    <w:multiLevelType w:val="singleLevel"/>
    <w:tmpl w:val="ABC66460"/>
    <w:lvl w:ilvl="0">
      <w:start w:val="1"/>
      <w:numFmt w:val="decimal"/>
      <w:lvlText w:val="%1."/>
      <w:legacy w:legacy="1" w:legacySpace="0" w:legacyIndent="283"/>
      <w:lvlJc w:val="left"/>
      <w:pPr>
        <w:ind w:left="283" w:hanging="283"/>
      </w:pPr>
    </w:lvl>
  </w:abstractNum>
  <w:abstractNum w:abstractNumId="13" w15:restartNumberingAfterBreak="0">
    <w:nsid w:val="50F646E2"/>
    <w:multiLevelType w:val="hybridMultilevel"/>
    <w:tmpl w:val="744AA83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64B52D00"/>
    <w:multiLevelType w:val="hybridMultilevel"/>
    <w:tmpl w:val="1AD48C0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6A614FA2"/>
    <w:multiLevelType w:val="hybridMultilevel"/>
    <w:tmpl w:val="9D70773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7D627827"/>
    <w:multiLevelType w:val="hybridMultilevel"/>
    <w:tmpl w:val="6C0A18B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2"/>
  </w:num>
  <w:num w:numId="2">
    <w:abstractNumId w:val="2"/>
    <w:lvlOverride w:ilvl="0">
      <w:lvl w:ilvl="0">
        <w:start w:val="1"/>
        <w:numFmt w:val="decimal"/>
        <w:lvlText w:val="%1."/>
        <w:legacy w:legacy="1" w:legacySpace="0" w:legacyIndent="284"/>
        <w:lvlJc w:val="left"/>
        <w:pPr>
          <w:ind w:left="284" w:hanging="284"/>
        </w:pPr>
      </w:lvl>
    </w:lvlOverride>
  </w:num>
  <w:num w:numId="3">
    <w:abstractNumId w:val="2"/>
    <w:lvlOverride w:ilvl="0">
      <w:lvl w:ilvl="0">
        <w:start w:val="1"/>
        <w:numFmt w:val="decimal"/>
        <w:lvlText w:val="%1."/>
        <w:legacy w:legacy="1" w:legacySpace="0" w:legacyIndent="284"/>
        <w:lvlJc w:val="left"/>
        <w:pPr>
          <w:ind w:left="284" w:hanging="284"/>
        </w:pPr>
      </w:lvl>
    </w:lvlOverride>
  </w:num>
  <w:num w:numId="4">
    <w:abstractNumId w:val="12"/>
  </w:num>
  <w:num w:numId="5">
    <w:abstractNumId w:val="12"/>
    <w:lvlOverride w:ilvl="0">
      <w:lvl w:ilvl="0">
        <w:start w:val="1"/>
        <w:numFmt w:val="decimal"/>
        <w:lvlText w:val="%1."/>
        <w:legacy w:legacy="1" w:legacySpace="0" w:legacyIndent="283"/>
        <w:lvlJc w:val="left"/>
        <w:pPr>
          <w:ind w:left="283" w:hanging="283"/>
        </w:pPr>
      </w:lvl>
    </w:lvlOverride>
  </w:num>
  <w:num w:numId="6">
    <w:abstractNumId w:val="7"/>
  </w:num>
  <w:num w:numId="7">
    <w:abstractNumId w:val="7"/>
    <w:lvlOverride w:ilvl="0">
      <w:lvl w:ilvl="0">
        <w:start w:val="1"/>
        <w:numFmt w:val="lowerLetter"/>
        <w:lvlText w:val="%1)"/>
        <w:legacy w:legacy="1" w:legacySpace="0" w:legacyIndent="283"/>
        <w:lvlJc w:val="left"/>
        <w:pPr>
          <w:ind w:left="567" w:hanging="283"/>
        </w:pPr>
      </w:lvl>
    </w:lvlOverride>
  </w:num>
  <w:num w:numId="8">
    <w:abstractNumId w:val="3"/>
  </w:num>
  <w:num w:numId="9">
    <w:abstractNumId w:val="3"/>
    <w:lvlOverride w:ilvl="0">
      <w:lvl w:ilvl="0">
        <w:start w:val="1"/>
        <w:numFmt w:val="lowerLetter"/>
        <w:lvlText w:val="%1)"/>
        <w:legacy w:legacy="1" w:legacySpace="0" w:legacyIndent="283"/>
        <w:lvlJc w:val="left"/>
        <w:pPr>
          <w:ind w:left="567" w:hanging="283"/>
        </w:pPr>
      </w:lvl>
    </w:lvlOverride>
  </w:num>
  <w:num w:numId="10">
    <w:abstractNumId w:val="10"/>
  </w:num>
  <w:num w:numId="11">
    <w:abstractNumId w:val="10"/>
    <w:lvlOverride w:ilvl="0">
      <w:lvl w:ilvl="0">
        <w:start w:val="1"/>
        <w:numFmt w:val="decimal"/>
        <w:lvlText w:val="%1."/>
        <w:legacy w:legacy="1" w:legacySpace="0" w:legacyIndent="283"/>
        <w:lvlJc w:val="left"/>
        <w:pPr>
          <w:ind w:left="283" w:hanging="283"/>
        </w:pPr>
      </w:lvl>
    </w:lvlOverride>
  </w:num>
  <w:num w:numId="12">
    <w:abstractNumId w:val="10"/>
    <w:lvlOverride w:ilvl="0">
      <w:lvl w:ilvl="0">
        <w:start w:val="1"/>
        <w:numFmt w:val="decimal"/>
        <w:lvlText w:val="%1."/>
        <w:legacy w:legacy="1" w:legacySpace="0" w:legacyIndent="283"/>
        <w:lvlJc w:val="left"/>
        <w:pPr>
          <w:ind w:left="283" w:hanging="283"/>
        </w:pPr>
      </w:lvl>
    </w:lvlOverride>
  </w:num>
  <w:num w:numId="13">
    <w:abstractNumId w:val="0"/>
  </w:num>
  <w:num w:numId="14">
    <w:abstractNumId w:val="4"/>
  </w:num>
  <w:num w:numId="15">
    <w:abstractNumId w:val="9"/>
  </w:num>
  <w:num w:numId="16">
    <w:abstractNumId w:val="14"/>
  </w:num>
  <w:num w:numId="17">
    <w:abstractNumId w:val="6"/>
  </w:num>
  <w:num w:numId="18">
    <w:abstractNumId w:val="5"/>
  </w:num>
  <w:num w:numId="19">
    <w:abstractNumId w:val="11"/>
  </w:num>
  <w:num w:numId="20">
    <w:abstractNumId w:val="1"/>
  </w:num>
  <w:num w:numId="21">
    <w:abstractNumId w:val="13"/>
  </w:num>
  <w:num w:numId="22">
    <w:abstractNumId w:val="15"/>
  </w:num>
  <w:num w:numId="23">
    <w:abstractNumId w:val="16"/>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D2451AC0-A609-4E20-99EB-8780E97D3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spacing w:after="120"/>
      <w:jc w:val="both"/>
    </w:pPr>
    <w:rPr>
      <w:rFonts w:ascii="Arial" w:hAnsi="Arial"/>
    </w:rPr>
  </w:style>
  <w:style w:type="paragraph" w:styleId="berschrift1">
    <w:name w:val="heading 1"/>
    <w:basedOn w:val="Standard"/>
    <w:next w:val="GesAbsatz"/>
    <w:qFormat/>
    <w:pPr>
      <w:keepNext/>
      <w:overflowPunct w:val="0"/>
      <w:autoSpaceDE w:val="0"/>
      <w:autoSpaceDN w:val="0"/>
      <w:adjustRightInd w:val="0"/>
      <w:spacing w:before="60"/>
      <w:jc w:val="center"/>
      <w:textAlignment w:val="baseline"/>
      <w:outlineLvl w:val="0"/>
    </w:pPr>
    <w:rPr>
      <w:b/>
      <w:kern w:val="28"/>
      <w:sz w:val="28"/>
    </w:rPr>
  </w:style>
  <w:style w:type="paragraph" w:styleId="berschrift2">
    <w:name w:val="heading 2"/>
    <w:basedOn w:val="Standard"/>
    <w:next w:val="GesAbsatz"/>
    <w:qFormat/>
    <w:pPr>
      <w:keepNext/>
      <w:overflowPunct w:val="0"/>
      <w:autoSpaceDE w:val="0"/>
      <w:autoSpaceDN w:val="0"/>
      <w:adjustRightInd w:val="0"/>
      <w:spacing w:before="240" w:after="60"/>
      <w:jc w:val="center"/>
      <w:textAlignment w:val="baseline"/>
      <w:outlineLvl w:val="1"/>
    </w:pPr>
    <w:rPr>
      <w:b/>
      <w:sz w:val="24"/>
    </w:rPr>
  </w:style>
  <w:style w:type="paragraph" w:styleId="berschrift3">
    <w:name w:val="heading 3"/>
    <w:basedOn w:val="Standard"/>
    <w:next w:val="GesAbsatz"/>
    <w:qFormat/>
    <w:pPr>
      <w:keepNext/>
      <w:overflowPunct w:val="0"/>
      <w:autoSpaceDE w:val="0"/>
      <w:autoSpaceDN w:val="0"/>
      <w:adjustRightInd w:val="0"/>
      <w:spacing w:before="240" w:after="180"/>
      <w:jc w:val="center"/>
      <w:textAlignment w:val="baseline"/>
      <w:outlineLvl w:val="2"/>
    </w:pPr>
    <w:rPr>
      <w:b/>
    </w:rPr>
  </w:style>
  <w:style w:type="paragraph" w:styleId="berschrift4">
    <w:name w:val="heading 4"/>
    <w:basedOn w:val="Standard"/>
    <w:next w:val="Standard"/>
    <w:qFormat/>
    <w:pPr>
      <w:keepNext/>
      <w:spacing w:before="240" w:after="60"/>
      <w:outlineLvl w:val="3"/>
    </w:pPr>
  </w:style>
  <w:style w:type="paragraph" w:styleId="berschrift5">
    <w:name w:val="heading 5"/>
    <w:basedOn w:val="Standard"/>
    <w:next w:val="Standard"/>
    <w:qFormat/>
    <w:pPr>
      <w:spacing w:before="240" w:after="60"/>
      <w:outlineLvl w:val="4"/>
    </w:pPr>
    <w:rPr>
      <w:sz w:val="22"/>
    </w:rPr>
  </w:style>
  <w:style w:type="paragraph" w:styleId="berschrift6">
    <w:name w:val="heading 6"/>
    <w:basedOn w:val="Standard"/>
    <w:next w:val="Standard"/>
    <w:qFormat/>
    <w:pPr>
      <w:spacing w:before="240" w:after="60"/>
      <w:outlineLvl w:val="5"/>
    </w:pPr>
    <w:rPr>
      <w:i/>
      <w:sz w:val="22"/>
    </w:rPr>
  </w:style>
  <w:style w:type="paragraph" w:styleId="berschrift7">
    <w:name w:val="heading 7"/>
    <w:basedOn w:val="Standard"/>
    <w:next w:val="Standard"/>
    <w:qFormat/>
    <w:pPr>
      <w:spacing w:before="240" w:after="60"/>
      <w:outlineLvl w:val="6"/>
    </w:pPr>
  </w:style>
  <w:style w:type="paragraph" w:styleId="berschrift8">
    <w:name w:val="heading 8"/>
    <w:basedOn w:val="Standard"/>
    <w:next w:val="Standard"/>
    <w:qFormat/>
    <w:pPr>
      <w:spacing w:before="240" w:after="60"/>
      <w:outlineLvl w:val="7"/>
    </w:pPr>
    <w:rPr>
      <w:i/>
    </w:rPr>
  </w:style>
  <w:style w:type="paragraph" w:styleId="berschrift9">
    <w:name w:val="heading 9"/>
    <w:basedOn w:val="Standard"/>
    <w:next w:val="Standard"/>
    <w:qFormat/>
    <w:pPr>
      <w:spacing w:before="240" w:after="60"/>
      <w:outlineLvl w:val="8"/>
    </w:pPr>
    <w:rPr>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overflowPunct w:val="0"/>
      <w:autoSpaceDE w:val="0"/>
      <w:autoSpaceDN w:val="0"/>
      <w:adjustRightInd w:val="0"/>
      <w:jc w:val="right"/>
      <w:textAlignment w:val="baseline"/>
    </w:pPr>
  </w:style>
  <w:style w:type="paragraph" w:styleId="Fuzeile">
    <w:name w:val="footer"/>
    <w:basedOn w:val="Standard"/>
    <w:qFormat/>
    <w:pPr>
      <w:tabs>
        <w:tab w:val="clear" w:pos="425"/>
        <w:tab w:val="right" w:pos="8505"/>
        <w:tab w:val="right" w:pos="9639"/>
      </w:tabs>
      <w:overflowPunct w:val="0"/>
      <w:autoSpaceDE w:val="0"/>
      <w:autoSpaceDN w:val="0"/>
      <w:adjustRightInd w:val="0"/>
      <w:spacing w:after="0"/>
      <w:jc w:val="left"/>
      <w:textAlignment w:val="baseline"/>
    </w:pPr>
    <w:rPr>
      <w:sz w:val="16"/>
    </w:rPr>
  </w:style>
  <w:style w:type="paragraph" w:customStyle="1" w:styleId="GesAbsatz">
    <w:name w:val="GesAbsatz"/>
    <w:basedOn w:val="Standard"/>
    <w:qFormat/>
    <w:pPr>
      <w:overflowPunct w:val="0"/>
      <w:autoSpaceDE w:val="0"/>
      <w:autoSpaceDN w:val="0"/>
      <w:adjustRightInd w:val="0"/>
      <w:spacing w:before="100" w:after="60"/>
      <w:textAlignment w:val="baseline"/>
    </w:pPr>
    <w:rPr>
      <w:color w:val="000000"/>
    </w:rPr>
  </w:style>
  <w:style w:type="paragraph" w:styleId="Verzeichnis2">
    <w:name w:val="toc 2"/>
    <w:basedOn w:val="Standard"/>
    <w:next w:val="Standard"/>
    <w:uiPriority w:val="39"/>
    <w:pPr>
      <w:tabs>
        <w:tab w:val="clear" w:pos="425"/>
      </w:tabs>
      <w:spacing w:after="0"/>
      <w:ind w:left="200"/>
      <w:jc w:val="left"/>
    </w:pPr>
    <w:rPr>
      <w:rFonts w:ascii="Times New Roman" w:hAnsi="Times New Roman"/>
      <w:smallCaps/>
    </w:rPr>
  </w:style>
  <w:style w:type="paragraph" w:styleId="Verzeichnis3">
    <w:name w:val="toc 3"/>
    <w:basedOn w:val="Standard"/>
    <w:next w:val="Standard"/>
    <w:uiPriority w:val="39"/>
    <w:pPr>
      <w:tabs>
        <w:tab w:val="clear" w:pos="425"/>
      </w:tabs>
      <w:spacing w:after="0"/>
      <w:ind w:left="400"/>
      <w:jc w:val="left"/>
    </w:pPr>
    <w:rPr>
      <w:rFonts w:ascii="Times New Roman" w:hAnsi="Times New Roman"/>
      <w:i/>
      <w:iCs/>
    </w:rPr>
  </w:style>
  <w:style w:type="paragraph" w:styleId="Funotentext">
    <w:name w:val="footnote text"/>
    <w:basedOn w:val="Standard"/>
    <w:qFormat/>
    <w:pPr>
      <w:overflowPunct w:val="0"/>
      <w:autoSpaceDE w:val="0"/>
      <w:autoSpaceDN w:val="0"/>
      <w:adjustRightInd w:val="0"/>
      <w:spacing w:after="0"/>
      <w:textAlignment w:val="baseline"/>
    </w:pPr>
    <w:rPr>
      <w:sz w:val="16"/>
    </w:rPr>
  </w:style>
  <w:style w:type="paragraph" w:styleId="Verzeichnis1">
    <w:name w:val="toc 1"/>
    <w:basedOn w:val="Verzeichnis3"/>
    <w:next w:val="Standard"/>
    <w:uiPriority w:val="39"/>
    <w:pPr>
      <w:spacing w:before="120" w:after="120"/>
      <w:ind w:left="0"/>
    </w:pPr>
    <w:rPr>
      <w:b/>
      <w:bCs/>
      <w:i w:val="0"/>
      <w:iCs w:val="0"/>
      <w:caps/>
    </w:rPr>
  </w:style>
  <w:style w:type="character" w:styleId="Endnotenzeichen">
    <w:name w:val="endnote reference"/>
    <w:basedOn w:val="Absatz-Standardschriftart"/>
    <w:semiHidden/>
    <w:rPr>
      <w:vertAlign w:val="superscript"/>
    </w:rPr>
  </w:style>
  <w:style w:type="paragraph" w:styleId="Verzeichnis4">
    <w:name w:val="toc 4"/>
    <w:basedOn w:val="Standard"/>
    <w:next w:val="Standard"/>
    <w:semiHidden/>
    <w:pPr>
      <w:tabs>
        <w:tab w:val="clear" w:pos="425"/>
      </w:tabs>
      <w:spacing w:after="0"/>
      <w:ind w:left="600"/>
      <w:jc w:val="left"/>
    </w:pPr>
    <w:rPr>
      <w:rFonts w:ascii="Times New Roman" w:hAnsi="Times New Roman"/>
      <w:sz w:val="18"/>
      <w:szCs w:val="18"/>
    </w:rPr>
  </w:style>
  <w:style w:type="paragraph" w:styleId="Verzeichnis5">
    <w:name w:val="toc 5"/>
    <w:basedOn w:val="Standard"/>
    <w:next w:val="Standard"/>
    <w:semiHidden/>
    <w:pPr>
      <w:tabs>
        <w:tab w:val="clear" w:pos="425"/>
      </w:tabs>
      <w:spacing w:after="0"/>
      <w:ind w:left="800"/>
      <w:jc w:val="left"/>
    </w:pPr>
    <w:rPr>
      <w:rFonts w:ascii="Times New Roman" w:hAnsi="Times New Roman"/>
      <w:sz w:val="18"/>
      <w:szCs w:val="18"/>
    </w:rPr>
  </w:style>
  <w:style w:type="paragraph" w:styleId="Verzeichnis6">
    <w:name w:val="toc 6"/>
    <w:basedOn w:val="Standard"/>
    <w:next w:val="Standard"/>
    <w:semiHidden/>
    <w:pPr>
      <w:tabs>
        <w:tab w:val="clear" w:pos="425"/>
      </w:tabs>
      <w:spacing w:after="0"/>
      <w:ind w:left="1000"/>
      <w:jc w:val="left"/>
    </w:pPr>
    <w:rPr>
      <w:rFonts w:ascii="Times New Roman" w:hAnsi="Times New Roman"/>
      <w:sz w:val="18"/>
      <w:szCs w:val="18"/>
    </w:rPr>
  </w:style>
  <w:style w:type="paragraph" w:styleId="Verzeichnis7">
    <w:name w:val="toc 7"/>
    <w:basedOn w:val="Standard"/>
    <w:next w:val="Standard"/>
    <w:semiHidden/>
    <w:pPr>
      <w:tabs>
        <w:tab w:val="clear" w:pos="425"/>
      </w:tabs>
      <w:spacing w:after="0"/>
      <w:ind w:left="1200"/>
      <w:jc w:val="left"/>
    </w:pPr>
    <w:rPr>
      <w:rFonts w:ascii="Times New Roman" w:hAnsi="Times New Roman"/>
      <w:sz w:val="18"/>
      <w:szCs w:val="18"/>
    </w:rPr>
  </w:style>
  <w:style w:type="paragraph" w:styleId="Verzeichnis8">
    <w:name w:val="toc 8"/>
    <w:basedOn w:val="Standard"/>
    <w:next w:val="Standard"/>
    <w:semiHidden/>
    <w:pPr>
      <w:tabs>
        <w:tab w:val="clear" w:pos="425"/>
      </w:tabs>
      <w:spacing w:after="0"/>
      <w:ind w:left="1400"/>
      <w:jc w:val="left"/>
    </w:pPr>
    <w:rPr>
      <w:rFonts w:ascii="Times New Roman" w:hAnsi="Times New Roman"/>
      <w:sz w:val="18"/>
      <w:szCs w:val="18"/>
    </w:rPr>
  </w:style>
  <w:style w:type="paragraph" w:styleId="Verzeichnis9">
    <w:name w:val="toc 9"/>
    <w:basedOn w:val="Standard"/>
    <w:next w:val="Standard"/>
    <w:semiHidden/>
    <w:pPr>
      <w:tabs>
        <w:tab w:val="clear" w:pos="425"/>
      </w:tabs>
      <w:spacing w:after="0"/>
      <w:ind w:left="1600"/>
      <w:jc w:val="left"/>
    </w:pPr>
    <w:rPr>
      <w:rFonts w:ascii="Times New Roman" w:hAnsi="Times New Roman"/>
      <w:sz w:val="18"/>
      <w:szCs w:val="18"/>
    </w:rPr>
  </w:style>
  <w:style w:type="character" w:styleId="Funotenzeichen">
    <w:name w:val="footnote reference"/>
    <w:qFormat/>
    <w:rPr>
      <w:sz w:val="20"/>
      <w:szCs w:val="20"/>
      <w:vertAlign w:val="superscript"/>
    </w:rPr>
  </w:style>
  <w:style w:type="character" w:styleId="Hyperlink">
    <w:name w:val="Hyperlink"/>
    <w:basedOn w:val="Absatz-Standardschriftart"/>
    <w:uiPriority w:val="99"/>
    <w:rPr>
      <w:color w:val="0000FF"/>
      <w:u w:val="single"/>
    </w:rPr>
  </w:style>
  <w:style w:type="character" w:styleId="BesuchterLink">
    <w:name w:val="FollowedHyperlink"/>
    <w:basedOn w:val="Absatz-Standardschriftart"/>
    <w:rPr>
      <w:color w:val="800080"/>
      <w:u w:val="single"/>
    </w:rPr>
  </w:style>
  <w:style w:type="table" w:styleId="Tabellenraster">
    <w:name w:val="Table Grid"/>
    <w:basedOn w:val="NormaleTabelle"/>
    <w:pPr>
      <w:tabs>
        <w:tab w:val="left" w:pos="425"/>
      </w:tabs>
      <w:spacing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overflowPunct w:val="0"/>
      <w:autoSpaceDE w:val="0"/>
      <w:autoSpaceDN w:val="0"/>
      <w:adjustRightInd w:val="0"/>
      <w:spacing w:after="0"/>
      <w:jc w:val="right"/>
      <w:textAlignment w:val="baseline"/>
    </w:pPr>
    <w:rPr>
      <w:b/>
      <w:sz w:val="24"/>
    </w:rPr>
  </w:style>
  <w:style w:type="paragraph" w:styleId="Sprechblasentext">
    <w:name w:val="Balloon Text"/>
    <w:basedOn w:val="Standard"/>
    <w:link w:val="SprechblasentextZchn"/>
    <w:pPr>
      <w:spacing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654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bereinigung-pflanzenschutzrechtlicher-vorschriften-g-sig-12021552/144152" TargetMode="External"/><Relationship Id="rId13" Type="http://schemas.openxmlformats.org/officeDocument/2006/relationships/hyperlink" Target="http://www.bgbl.de/Xaver/start.xav?startbk=Bundesanzeiger_BGBl&amp;start=//*%5b@attr_id='bgbl102s1193.pdf'%5d" TargetMode="External"/><Relationship Id="rId18" Type="http://schemas.openxmlformats.org/officeDocument/2006/relationships/hyperlink" Target="http://www.bgbl.de/Xaver/start.xav?startbk=Bundesanzeiger_BGBl&amp;start=//*%5b@attr_id='bgbl112s2113.pdf'%5d"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21s4111.pdf'%5d"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99s2070.pdf'%5d" TargetMode="External"/><Relationship Id="rId17" Type="http://schemas.openxmlformats.org/officeDocument/2006/relationships/hyperlink" Target="http://www.bgbl.de/Xaver/start.xav?startbk=Bundesanzeiger_BGBl&amp;start=//*%5b@attr_id='bgbl111s2927.pdf'%5d" TargetMode="External"/><Relationship Id="rId25" Type="http://schemas.openxmlformats.org/officeDocument/2006/relationships/hyperlink" Target="https://www.recht.bund.de/eli/bund/bgbl-1/2024/216" TargetMode="Externa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09s2542.pdf'%5d" TargetMode="External"/><Relationship Id="rId20" Type="http://schemas.openxmlformats.org/officeDocument/2006/relationships/hyperlink" Target="http://www.bgbl.de/Xaver/start.xav?startbk=Bundesanzeiger_BGBl&amp;start=//*%5b@attr_id='bgbl113s4020.pdf'%5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97s0060.pdf'%5d" TargetMode="External"/><Relationship Id="rId24" Type="http://schemas.openxmlformats.org/officeDocument/2006/relationships/hyperlink" Target="http://www.bgbl.de/Xaver/start.xav?startbk=Bundesanzeiger_BGBl&amp;start=//*%5b@attr_id='bgbl122s0867.pdf'%5d" TargetMode="Externa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03s1533.pdf'%5d" TargetMode="External"/><Relationship Id="rId23" Type="http://schemas.openxmlformats.org/officeDocument/2006/relationships/hyperlink" Target="http://www.bgbl.de/Xaver/start.xav?startbk=Bundesanzeiger_BGBl&amp;start=//*%5b@attr_id='bgbl122s0867.pdf'%5d" TargetMode="External"/><Relationship Id="rId28" Type="http://schemas.openxmlformats.org/officeDocument/2006/relationships/footer" Target="footer2.xml"/><Relationship Id="rId10" Type="http://schemas.openxmlformats.org/officeDocument/2006/relationships/hyperlink" Target="http://www.bgbl.de/Xaver/start.xav?startbk=Bundesanzeiger_BGBl&amp;start=//*%5b@attr_id='bgbl194s1689.pdf'%5d" TargetMode="External"/><Relationship Id="rId19" Type="http://schemas.openxmlformats.org/officeDocument/2006/relationships/hyperlink" Target="http://www.bgbl.de/Xaver/start.xav?startbk=Bundesanzeiger_BGBl&amp;start=//*%5b@attr_id='bgbl113s1953.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93s1455.pdf'%5d" TargetMode="External"/><Relationship Id="rId14" Type="http://schemas.openxmlformats.org/officeDocument/2006/relationships/hyperlink" Target="http://www.bgbl.de/Xaver/start.xav?startbk=Bundesanzeiger_BGBl&amp;start=//*%5b@attr_id='bgbl102s3082.pdf'%5d" TargetMode="External"/><Relationship Id="rId22" Type="http://schemas.openxmlformats.org/officeDocument/2006/relationships/hyperlink" Target="http://www.bgbl.de/Xaver/start.xav?startbk=Bundesanzeiger_BGBl&amp;start=//*%5b@attr_id='bgbl121s4111.pdf'%5d" TargetMode="External"/><Relationship Id="rId27" Type="http://schemas.openxmlformats.org/officeDocument/2006/relationships/footer" Target="foot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17BA2-81D4-4447-A45E-9126C465B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11</Pages>
  <Words>3229</Words>
  <Characters>23751</Characters>
  <Application>Microsoft Office Word</Application>
  <DocSecurity>0</DocSecurity>
  <Lines>197</Lines>
  <Paragraphs>53</Paragraphs>
  <ScaleCrop>false</ScaleCrop>
  <HeadingPairs>
    <vt:vector size="2" baseType="variant">
      <vt:variant>
        <vt:lpstr>Titel</vt:lpstr>
      </vt:variant>
      <vt:variant>
        <vt:i4>1</vt:i4>
      </vt:variant>
    </vt:vector>
  </HeadingPairs>
  <TitlesOfParts>
    <vt:vector size="1" baseType="lpstr">
      <vt:lpstr>Pflanzenschutz-Anwendungsverordnung</vt:lpstr>
    </vt:vector>
  </TitlesOfParts>
  <Company>LUA</Company>
  <LinksUpToDate>false</LinksUpToDate>
  <CharactersWithSpaces>26927</CharactersWithSpaces>
  <SharedDoc>false</SharedDoc>
  <HLinks>
    <vt:vector size="156" baseType="variant">
      <vt:variant>
        <vt:i4>4784228</vt:i4>
      </vt:variant>
      <vt:variant>
        <vt:i4>120</vt:i4>
      </vt:variant>
      <vt:variant>
        <vt:i4>0</vt:i4>
      </vt:variant>
      <vt:variant>
        <vt:i4>5</vt:i4>
      </vt:variant>
      <vt:variant>
        <vt:lpwstr>http://www.bgbl.de/Xaver/start.xav?startbk=Bundesanzeiger_BGBl&amp;start=//*%5b@attr_id='bgbl113s1953.pdf'%5d</vt:lpwstr>
      </vt:variant>
      <vt:variant>
        <vt:lpwstr/>
      </vt:variant>
      <vt:variant>
        <vt:i4>5177452</vt:i4>
      </vt:variant>
      <vt:variant>
        <vt:i4>117</vt:i4>
      </vt:variant>
      <vt:variant>
        <vt:i4>0</vt:i4>
      </vt:variant>
      <vt:variant>
        <vt:i4>5</vt:i4>
      </vt:variant>
      <vt:variant>
        <vt:lpwstr>http://www.bgbl.de/Xaver/start.xav?startbk=Bundesanzeiger_BGBl&amp;start=//*%5b@attr_id='bgbl112s2113.pdf'%5d</vt:lpwstr>
      </vt:variant>
      <vt:variant>
        <vt:lpwstr/>
      </vt:variant>
      <vt:variant>
        <vt:i4>5177440</vt:i4>
      </vt:variant>
      <vt:variant>
        <vt:i4>114</vt:i4>
      </vt:variant>
      <vt:variant>
        <vt:i4>0</vt:i4>
      </vt:variant>
      <vt:variant>
        <vt:i4>5</vt:i4>
      </vt:variant>
      <vt:variant>
        <vt:lpwstr>http://www.bgbl.de/Xaver/start.xav?startbk=Bundesanzeiger_BGBl&amp;start=//*%5b@attr_id='bgbl111s2927.pdf'%5d</vt:lpwstr>
      </vt:variant>
      <vt:variant>
        <vt:lpwstr/>
      </vt:variant>
      <vt:variant>
        <vt:i4>4259944</vt:i4>
      </vt:variant>
      <vt:variant>
        <vt:i4>111</vt:i4>
      </vt:variant>
      <vt:variant>
        <vt:i4>0</vt:i4>
      </vt:variant>
      <vt:variant>
        <vt:i4>5</vt:i4>
      </vt:variant>
      <vt:variant>
        <vt:lpwstr>http://www.bgbl.de/Xaver/start.xav?startbk=Bundesanzeiger_BGBl&amp;start=//*%5b@attr_id='bgbl109s2542.pdf'%5d</vt:lpwstr>
      </vt:variant>
      <vt:variant>
        <vt:lpwstr/>
      </vt:variant>
      <vt:variant>
        <vt:i4>5177449</vt:i4>
      </vt:variant>
      <vt:variant>
        <vt:i4>108</vt:i4>
      </vt:variant>
      <vt:variant>
        <vt:i4>0</vt:i4>
      </vt:variant>
      <vt:variant>
        <vt:i4>5</vt:i4>
      </vt:variant>
      <vt:variant>
        <vt:lpwstr>http://www.bgbl.de/Xaver/start.xav?startbk=Bundesanzeiger_BGBl&amp;start=//*%5b@attr_id='bgbl103s1533.pdf'%5d</vt:lpwstr>
      </vt:variant>
      <vt:variant>
        <vt:lpwstr/>
      </vt:variant>
      <vt:variant>
        <vt:i4>4653165</vt:i4>
      </vt:variant>
      <vt:variant>
        <vt:i4>105</vt:i4>
      </vt:variant>
      <vt:variant>
        <vt:i4>0</vt:i4>
      </vt:variant>
      <vt:variant>
        <vt:i4>5</vt:i4>
      </vt:variant>
      <vt:variant>
        <vt:lpwstr>http://www.bgbl.de/Xaver/start.xav?startbk=Bundesanzeiger_BGBl&amp;start=//*%5b@attr_id='bgbl102s3082.pdf'%5d</vt:lpwstr>
      </vt:variant>
      <vt:variant>
        <vt:lpwstr/>
      </vt:variant>
      <vt:variant>
        <vt:i4>4456557</vt:i4>
      </vt:variant>
      <vt:variant>
        <vt:i4>102</vt:i4>
      </vt:variant>
      <vt:variant>
        <vt:i4>0</vt:i4>
      </vt:variant>
      <vt:variant>
        <vt:i4>5</vt:i4>
      </vt:variant>
      <vt:variant>
        <vt:lpwstr>http://www.bgbl.de/Xaver/start.xav?startbk=Bundesanzeiger_BGBl&amp;start=//*%5b@attr_id='bgbl102s1193.pdf'%5d</vt:lpwstr>
      </vt:variant>
      <vt:variant>
        <vt:lpwstr/>
      </vt:variant>
      <vt:variant>
        <vt:i4>4325478</vt:i4>
      </vt:variant>
      <vt:variant>
        <vt:i4>99</vt:i4>
      </vt:variant>
      <vt:variant>
        <vt:i4>0</vt:i4>
      </vt:variant>
      <vt:variant>
        <vt:i4>5</vt:i4>
      </vt:variant>
      <vt:variant>
        <vt:lpwstr>http://www.bgbl.de/Xaver/start.xav?startbk=Bundesanzeiger_BGBl&amp;start=//*%5b@attr_id='bgbl199s2070.pdf'%5d</vt:lpwstr>
      </vt:variant>
      <vt:variant>
        <vt:lpwstr/>
      </vt:variant>
      <vt:variant>
        <vt:i4>5177446</vt:i4>
      </vt:variant>
      <vt:variant>
        <vt:i4>96</vt:i4>
      </vt:variant>
      <vt:variant>
        <vt:i4>0</vt:i4>
      </vt:variant>
      <vt:variant>
        <vt:i4>5</vt:i4>
      </vt:variant>
      <vt:variant>
        <vt:lpwstr>http://www.bgbl.de/Xaver/start.xav?startbk=Bundesanzeiger_BGBl&amp;start=//*%5b@attr_id='bgbl197s0060.pdf'%5d</vt:lpwstr>
      </vt:variant>
      <vt:variant>
        <vt:lpwstr/>
      </vt:variant>
      <vt:variant>
        <vt:i4>4391017</vt:i4>
      </vt:variant>
      <vt:variant>
        <vt:i4>93</vt:i4>
      </vt:variant>
      <vt:variant>
        <vt:i4>0</vt:i4>
      </vt:variant>
      <vt:variant>
        <vt:i4>5</vt:i4>
      </vt:variant>
      <vt:variant>
        <vt:lpwstr>http://www.bgbl.de/Xaver/start.xav?startbk=Bundesanzeiger_BGBl&amp;start=//*%5b@attr_id='bgbl194s1689.pdf'%5d</vt:lpwstr>
      </vt:variant>
      <vt:variant>
        <vt:lpwstr/>
      </vt:variant>
      <vt:variant>
        <vt:i4>4784231</vt:i4>
      </vt:variant>
      <vt:variant>
        <vt:i4>90</vt:i4>
      </vt:variant>
      <vt:variant>
        <vt:i4>0</vt:i4>
      </vt:variant>
      <vt:variant>
        <vt:i4>5</vt:i4>
      </vt:variant>
      <vt:variant>
        <vt:lpwstr>http://www.bgbl.de/Xaver/start.xav?startbk=Bundesanzeiger_BGBl&amp;start=//*%5b@attr_id='bgbl193s1455.pdf'%5d</vt:lpwstr>
      </vt:variant>
      <vt:variant>
        <vt:lpwstr/>
      </vt:variant>
      <vt:variant>
        <vt:i4>1703997</vt:i4>
      </vt:variant>
      <vt:variant>
        <vt:i4>83</vt:i4>
      </vt:variant>
      <vt:variant>
        <vt:i4>0</vt:i4>
      </vt:variant>
      <vt:variant>
        <vt:i4>5</vt:i4>
      </vt:variant>
      <vt:variant>
        <vt:lpwstr/>
      </vt:variant>
      <vt:variant>
        <vt:lpwstr>_Toc338146297</vt:lpwstr>
      </vt:variant>
      <vt:variant>
        <vt:i4>1703997</vt:i4>
      </vt:variant>
      <vt:variant>
        <vt:i4>77</vt:i4>
      </vt:variant>
      <vt:variant>
        <vt:i4>0</vt:i4>
      </vt:variant>
      <vt:variant>
        <vt:i4>5</vt:i4>
      </vt:variant>
      <vt:variant>
        <vt:lpwstr/>
      </vt:variant>
      <vt:variant>
        <vt:lpwstr>_Toc338146296</vt:lpwstr>
      </vt:variant>
      <vt:variant>
        <vt:i4>1703997</vt:i4>
      </vt:variant>
      <vt:variant>
        <vt:i4>71</vt:i4>
      </vt:variant>
      <vt:variant>
        <vt:i4>0</vt:i4>
      </vt:variant>
      <vt:variant>
        <vt:i4>5</vt:i4>
      </vt:variant>
      <vt:variant>
        <vt:lpwstr/>
      </vt:variant>
      <vt:variant>
        <vt:lpwstr>_Toc338146295</vt:lpwstr>
      </vt:variant>
      <vt:variant>
        <vt:i4>1703997</vt:i4>
      </vt:variant>
      <vt:variant>
        <vt:i4>65</vt:i4>
      </vt:variant>
      <vt:variant>
        <vt:i4>0</vt:i4>
      </vt:variant>
      <vt:variant>
        <vt:i4>5</vt:i4>
      </vt:variant>
      <vt:variant>
        <vt:lpwstr/>
      </vt:variant>
      <vt:variant>
        <vt:lpwstr>_Toc338146294</vt:lpwstr>
      </vt:variant>
      <vt:variant>
        <vt:i4>1703997</vt:i4>
      </vt:variant>
      <vt:variant>
        <vt:i4>59</vt:i4>
      </vt:variant>
      <vt:variant>
        <vt:i4>0</vt:i4>
      </vt:variant>
      <vt:variant>
        <vt:i4>5</vt:i4>
      </vt:variant>
      <vt:variant>
        <vt:lpwstr/>
      </vt:variant>
      <vt:variant>
        <vt:lpwstr>_Toc338146293</vt:lpwstr>
      </vt:variant>
      <vt:variant>
        <vt:i4>1703997</vt:i4>
      </vt:variant>
      <vt:variant>
        <vt:i4>53</vt:i4>
      </vt:variant>
      <vt:variant>
        <vt:i4>0</vt:i4>
      </vt:variant>
      <vt:variant>
        <vt:i4>5</vt:i4>
      </vt:variant>
      <vt:variant>
        <vt:lpwstr/>
      </vt:variant>
      <vt:variant>
        <vt:lpwstr>_Toc338146292</vt:lpwstr>
      </vt:variant>
      <vt:variant>
        <vt:i4>1703997</vt:i4>
      </vt:variant>
      <vt:variant>
        <vt:i4>47</vt:i4>
      </vt:variant>
      <vt:variant>
        <vt:i4>0</vt:i4>
      </vt:variant>
      <vt:variant>
        <vt:i4>5</vt:i4>
      </vt:variant>
      <vt:variant>
        <vt:lpwstr/>
      </vt:variant>
      <vt:variant>
        <vt:lpwstr>_Toc338146291</vt:lpwstr>
      </vt:variant>
      <vt:variant>
        <vt:i4>1703997</vt:i4>
      </vt:variant>
      <vt:variant>
        <vt:i4>41</vt:i4>
      </vt:variant>
      <vt:variant>
        <vt:i4>0</vt:i4>
      </vt:variant>
      <vt:variant>
        <vt:i4>5</vt:i4>
      </vt:variant>
      <vt:variant>
        <vt:lpwstr/>
      </vt:variant>
      <vt:variant>
        <vt:lpwstr>_Toc338146290</vt:lpwstr>
      </vt:variant>
      <vt:variant>
        <vt:i4>1769533</vt:i4>
      </vt:variant>
      <vt:variant>
        <vt:i4>35</vt:i4>
      </vt:variant>
      <vt:variant>
        <vt:i4>0</vt:i4>
      </vt:variant>
      <vt:variant>
        <vt:i4>5</vt:i4>
      </vt:variant>
      <vt:variant>
        <vt:lpwstr/>
      </vt:variant>
      <vt:variant>
        <vt:lpwstr>_Toc338146289</vt:lpwstr>
      </vt:variant>
      <vt:variant>
        <vt:i4>1769533</vt:i4>
      </vt:variant>
      <vt:variant>
        <vt:i4>29</vt:i4>
      </vt:variant>
      <vt:variant>
        <vt:i4>0</vt:i4>
      </vt:variant>
      <vt:variant>
        <vt:i4>5</vt:i4>
      </vt:variant>
      <vt:variant>
        <vt:lpwstr/>
      </vt:variant>
      <vt:variant>
        <vt:lpwstr>_Toc338146288</vt:lpwstr>
      </vt:variant>
      <vt:variant>
        <vt:i4>1769533</vt:i4>
      </vt:variant>
      <vt:variant>
        <vt:i4>23</vt:i4>
      </vt:variant>
      <vt:variant>
        <vt:i4>0</vt:i4>
      </vt:variant>
      <vt:variant>
        <vt:i4>5</vt:i4>
      </vt:variant>
      <vt:variant>
        <vt:lpwstr/>
      </vt:variant>
      <vt:variant>
        <vt:lpwstr>_Toc338146287</vt:lpwstr>
      </vt:variant>
      <vt:variant>
        <vt:i4>1769533</vt:i4>
      </vt:variant>
      <vt:variant>
        <vt:i4>17</vt:i4>
      </vt:variant>
      <vt:variant>
        <vt:i4>0</vt:i4>
      </vt:variant>
      <vt:variant>
        <vt:i4>5</vt:i4>
      </vt:variant>
      <vt:variant>
        <vt:lpwstr/>
      </vt:variant>
      <vt:variant>
        <vt:lpwstr>_Toc338146286</vt:lpwstr>
      </vt:variant>
      <vt:variant>
        <vt:i4>1769533</vt:i4>
      </vt:variant>
      <vt:variant>
        <vt:i4>11</vt:i4>
      </vt:variant>
      <vt:variant>
        <vt:i4>0</vt:i4>
      </vt:variant>
      <vt:variant>
        <vt:i4>5</vt:i4>
      </vt:variant>
      <vt:variant>
        <vt:lpwstr/>
      </vt:variant>
      <vt:variant>
        <vt:lpwstr>_Toc338146285</vt:lpwstr>
      </vt:variant>
      <vt:variant>
        <vt:i4>1769533</vt:i4>
      </vt:variant>
      <vt:variant>
        <vt:i4>5</vt:i4>
      </vt:variant>
      <vt:variant>
        <vt:i4>0</vt:i4>
      </vt:variant>
      <vt:variant>
        <vt:i4>5</vt:i4>
      </vt:variant>
      <vt:variant>
        <vt:lpwstr/>
      </vt:variant>
      <vt:variant>
        <vt:lpwstr>_Toc338146284</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Pflanzenschutz-Anwendungsverordnung</dc:title>
  <dc:subject/>
  <dc:creator>VTU</dc:creator>
  <cp:keywords/>
  <dc:description>durchgesehen 10.2006</dc:description>
  <cp:lastModifiedBy>Rüter, Dr., Ingo</cp:lastModifiedBy>
  <cp:revision>25</cp:revision>
  <cp:lastPrinted>2025-03-19T08:19:00Z</cp:lastPrinted>
  <dcterms:created xsi:type="dcterms:W3CDTF">2025-03-18T09:47:00Z</dcterms:created>
  <dcterms:modified xsi:type="dcterms:W3CDTF">2025-03-19T08:29:00Z</dcterms:modified>
</cp:coreProperties>
</file>