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BCD9C" w14:textId="77777777" w:rsidR="00E40099" w:rsidRDefault="001C1DA5">
      <w:pPr>
        <w:pStyle w:val="berschrift1"/>
      </w:pPr>
      <w:bookmarkStart w:id="0" w:name="_Toc43456367"/>
      <w:r>
        <w:t>Gesetz zur Sicherstellung ordnungsgemäßer Planungs- und</w:t>
      </w:r>
      <w:r>
        <w:br/>
        <w:t xml:space="preserve">Genehmigungsverfahren während der COVID-19-Pandemie - </w:t>
      </w:r>
      <w:r>
        <w:br/>
        <w:t>Planungssicherstellungsgesetz - PlanSiG -</w:t>
      </w:r>
      <w:r>
        <w:rPr>
          <w:rStyle w:val="Funotenzeichen"/>
        </w:rPr>
        <w:footnoteReference w:id="1"/>
      </w:r>
      <w:bookmarkEnd w:id="0"/>
    </w:p>
    <w:p w14:paraId="40DBB529" w14:textId="77777777" w:rsidR="00E40099" w:rsidRDefault="001C1DA5">
      <w:pPr>
        <w:pStyle w:val="GesAbsatz"/>
        <w:jc w:val="center"/>
      </w:pPr>
      <w:r>
        <w:t>vom 20. Mai 2020</w:t>
      </w:r>
    </w:p>
    <w:p w14:paraId="0DF1BD3B" w14:textId="77777777" w:rsidR="00ED32F9" w:rsidRPr="00ED32F9" w:rsidRDefault="00ED32F9" w:rsidP="00ED32F9">
      <w:pPr>
        <w:pStyle w:val="GesAbsatz"/>
      </w:pPr>
    </w:p>
    <w:p w14:paraId="6DA64F52" w14:textId="44F88ACD" w:rsidR="00E40099" w:rsidRDefault="001C1DA5">
      <w:pPr>
        <w:pStyle w:val="GesAbsatz"/>
      </w:pPr>
      <w:hyperlink r:id="rId8" w:history="1">
        <w:r>
          <w:rPr>
            <w:rStyle w:val="Hyperlink"/>
          </w:rPr>
          <w:t>Link zu DIP</w:t>
        </w:r>
      </w:hyperlink>
    </w:p>
    <w:p w14:paraId="203DF99F" w14:textId="77777777" w:rsidR="00E40099" w:rsidRDefault="001C1DA5">
      <w:pPr>
        <w:pStyle w:val="GesAbsatz"/>
        <w:jc w:val="center"/>
        <w:rPr>
          <w:b/>
          <w:sz w:val="22"/>
        </w:rPr>
      </w:pPr>
      <w:r>
        <w:rPr>
          <w:b/>
          <w:sz w:val="22"/>
        </w:rPr>
        <w:t>Inhalt:</w:t>
      </w:r>
    </w:p>
    <w:p w14:paraId="049E13EB" w14:textId="77777777" w:rsidR="00E40099" w:rsidRDefault="001C1DA5">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43456367" w:history="1">
        <w:r>
          <w:rPr>
            <w:rStyle w:val="Hyperlink"/>
            <w:noProof/>
          </w:rPr>
          <w:t>Planungssicherstellungsgesetz – PlanSiG -</w:t>
        </w:r>
        <w:r>
          <w:rPr>
            <w:noProof/>
            <w:webHidden/>
          </w:rPr>
          <w:tab/>
        </w:r>
        <w:r>
          <w:rPr>
            <w:noProof/>
            <w:webHidden/>
          </w:rPr>
          <w:fldChar w:fldCharType="begin"/>
        </w:r>
        <w:r>
          <w:rPr>
            <w:noProof/>
            <w:webHidden/>
          </w:rPr>
          <w:instrText xml:space="preserve"> PAGEREF _Toc43456367 \h </w:instrText>
        </w:r>
        <w:r>
          <w:rPr>
            <w:noProof/>
            <w:webHidden/>
          </w:rPr>
        </w:r>
        <w:r>
          <w:rPr>
            <w:noProof/>
            <w:webHidden/>
          </w:rPr>
          <w:fldChar w:fldCharType="separate"/>
        </w:r>
        <w:r>
          <w:rPr>
            <w:noProof/>
            <w:webHidden/>
          </w:rPr>
          <w:t>1</w:t>
        </w:r>
        <w:r>
          <w:rPr>
            <w:noProof/>
            <w:webHidden/>
          </w:rPr>
          <w:fldChar w:fldCharType="end"/>
        </w:r>
      </w:hyperlink>
    </w:p>
    <w:p w14:paraId="3F6ED8F7" w14:textId="77777777" w:rsidR="00E40099" w:rsidRDefault="001C1DA5">
      <w:pPr>
        <w:pStyle w:val="Verzeichnis3"/>
        <w:rPr>
          <w:rFonts w:asciiTheme="minorHAnsi" w:eastAsiaTheme="minorEastAsia" w:hAnsiTheme="minorHAnsi" w:cstheme="minorBidi"/>
          <w:i w:val="0"/>
          <w:noProof/>
          <w:sz w:val="22"/>
          <w:szCs w:val="22"/>
        </w:rPr>
      </w:pPr>
      <w:hyperlink w:anchor="_Toc43456368" w:history="1">
        <w:r>
          <w:rPr>
            <w:rStyle w:val="Hyperlink"/>
            <w:noProof/>
          </w:rPr>
          <w:t>§ 1 Anwendungsbereich</w:t>
        </w:r>
        <w:r>
          <w:rPr>
            <w:noProof/>
            <w:webHidden/>
          </w:rPr>
          <w:tab/>
        </w:r>
        <w:r>
          <w:rPr>
            <w:noProof/>
            <w:webHidden/>
          </w:rPr>
          <w:fldChar w:fldCharType="begin"/>
        </w:r>
        <w:r>
          <w:rPr>
            <w:noProof/>
            <w:webHidden/>
          </w:rPr>
          <w:instrText xml:space="preserve"> PAGEREF _Toc43456368 \h </w:instrText>
        </w:r>
        <w:r>
          <w:rPr>
            <w:noProof/>
            <w:webHidden/>
          </w:rPr>
        </w:r>
        <w:r>
          <w:rPr>
            <w:noProof/>
            <w:webHidden/>
          </w:rPr>
          <w:fldChar w:fldCharType="separate"/>
        </w:r>
        <w:r>
          <w:rPr>
            <w:noProof/>
            <w:webHidden/>
          </w:rPr>
          <w:t>1</w:t>
        </w:r>
        <w:r>
          <w:rPr>
            <w:noProof/>
            <w:webHidden/>
          </w:rPr>
          <w:fldChar w:fldCharType="end"/>
        </w:r>
      </w:hyperlink>
    </w:p>
    <w:p w14:paraId="1A865738" w14:textId="77777777" w:rsidR="00E40099" w:rsidRDefault="001C1DA5">
      <w:pPr>
        <w:pStyle w:val="Verzeichnis3"/>
        <w:rPr>
          <w:rFonts w:asciiTheme="minorHAnsi" w:eastAsiaTheme="minorEastAsia" w:hAnsiTheme="minorHAnsi" w:cstheme="minorBidi"/>
          <w:i w:val="0"/>
          <w:noProof/>
          <w:sz w:val="22"/>
          <w:szCs w:val="22"/>
        </w:rPr>
      </w:pPr>
      <w:hyperlink w:anchor="_Toc43456369" w:history="1">
        <w:r>
          <w:rPr>
            <w:rStyle w:val="Hyperlink"/>
            <w:noProof/>
          </w:rPr>
          <w:t>§ 2 Ortsübliche und öffentliche Bekanntmachungen</w:t>
        </w:r>
        <w:r>
          <w:rPr>
            <w:noProof/>
            <w:webHidden/>
          </w:rPr>
          <w:tab/>
        </w:r>
        <w:r>
          <w:rPr>
            <w:noProof/>
            <w:webHidden/>
          </w:rPr>
          <w:fldChar w:fldCharType="begin"/>
        </w:r>
        <w:r>
          <w:rPr>
            <w:noProof/>
            <w:webHidden/>
          </w:rPr>
          <w:instrText xml:space="preserve"> PAGEREF _Toc43456369 \h </w:instrText>
        </w:r>
        <w:r>
          <w:rPr>
            <w:noProof/>
            <w:webHidden/>
          </w:rPr>
        </w:r>
        <w:r>
          <w:rPr>
            <w:noProof/>
            <w:webHidden/>
          </w:rPr>
          <w:fldChar w:fldCharType="separate"/>
        </w:r>
        <w:r>
          <w:rPr>
            <w:noProof/>
            <w:webHidden/>
          </w:rPr>
          <w:t>2</w:t>
        </w:r>
        <w:r>
          <w:rPr>
            <w:noProof/>
            <w:webHidden/>
          </w:rPr>
          <w:fldChar w:fldCharType="end"/>
        </w:r>
      </w:hyperlink>
    </w:p>
    <w:p w14:paraId="2ECCD0DE" w14:textId="77777777" w:rsidR="00E40099" w:rsidRDefault="001C1DA5">
      <w:pPr>
        <w:pStyle w:val="Verzeichnis3"/>
        <w:rPr>
          <w:rFonts w:asciiTheme="minorHAnsi" w:eastAsiaTheme="minorEastAsia" w:hAnsiTheme="minorHAnsi" w:cstheme="minorBidi"/>
          <w:i w:val="0"/>
          <w:noProof/>
          <w:sz w:val="22"/>
          <w:szCs w:val="22"/>
        </w:rPr>
      </w:pPr>
      <w:hyperlink w:anchor="_Toc43456370" w:history="1">
        <w:r>
          <w:rPr>
            <w:rStyle w:val="Hyperlink"/>
            <w:noProof/>
          </w:rPr>
          <w:t>§ 3 Auslegung von Unterlagen oder Entscheidungen</w:t>
        </w:r>
        <w:r>
          <w:rPr>
            <w:noProof/>
            <w:webHidden/>
          </w:rPr>
          <w:tab/>
        </w:r>
        <w:r>
          <w:rPr>
            <w:noProof/>
            <w:webHidden/>
          </w:rPr>
          <w:fldChar w:fldCharType="begin"/>
        </w:r>
        <w:r>
          <w:rPr>
            <w:noProof/>
            <w:webHidden/>
          </w:rPr>
          <w:instrText xml:space="preserve"> PAGEREF _Toc43456370 \h </w:instrText>
        </w:r>
        <w:r>
          <w:rPr>
            <w:noProof/>
            <w:webHidden/>
          </w:rPr>
        </w:r>
        <w:r>
          <w:rPr>
            <w:noProof/>
            <w:webHidden/>
          </w:rPr>
          <w:fldChar w:fldCharType="separate"/>
        </w:r>
        <w:r>
          <w:rPr>
            <w:noProof/>
            <w:webHidden/>
          </w:rPr>
          <w:t>2</w:t>
        </w:r>
        <w:r>
          <w:rPr>
            <w:noProof/>
            <w:webHidden/>
          </w:rPr>
          <w:fldChar w:fldCharType="end"/>
        </w:r>
      </w:hyperlink>
    </w:p>
    <w:p w14:paraId="0275A01B" w14:textId="77777777" w:rsidR="00E40099" w:rsidRDefault="001C1DA5">
      <w:pPr>
        <w:pStyle w:val="Verzeichnis3"/>
        <w:rPr>
          <w:rFonts w:asciiTheme="minorHAnsi" w:eastAsiaTheme="minorEastAsia" w:hAnsiTheme="minorHAnsi" w:cstheme="minorBidi"/>
          <w:i w:val="0"/>
          <w:noProof/>
          <w:sz w:val="22"/>
          <w:szCs w:val="22"/>
        </w:rPr>
      </w:pPr>
      <w:hyperlink w:anchor="_Toc43456371" w:history="1">
        <w:r>
          <w:rPr>
            <w:rStyle w:val="Hyperlink"/>
            <w:noProof/>
          </w:rPr>
          <w:t>§ 4 Erklärungen zur Niederschrift</w:t>
        </w:r>
        <w:r>
          <w:rPr>
            <w:noProof/>
            <w:webHidden/>
          </w:rPr>
          <w:tab/>
        </w:r>
        <w:r>
          <w:rPr>
            <w:noProof/>
            <w:webHidden/>
          </w:rPr>
          <w:fldChar w:fldCharType="begin"/>
        </w:r>
        <w:r>
          <w:rPr>
            <w:noProof/>
            <w:webHidden/>
          </w:rPr>
          <w:instrText xml:space="preserve"> PAGEREF _Toc43456371 \h </w:instrText>
        </w:r>
        <w:r>
          <w:rPr>
            <w:noProof/>
            <w:webHidden/>
          </w:rPr>
        </w:r>
        <w:r>
          <w:rPr>
            <w:noProof/>
            <w:webHidden/>
          </w:rPr>
          <w:fldChar w:fldCharType="separate"/>
        </w:r>
        <w:r>
          <w:rPr>
            <w:noProof/>
            <w:webHidden/>
          </w:rPr>
          <w:t>2</w:t>
        </w:r>
        <w:r>
          <w:rPr>
            <w:noProof/>
            <w:webHidden/>
          </w:rPr>
          <w:fldChar w:fldCharType="end"/>
        </w:r>
      </w:hyperlink>
    </w:p>
    <w:p w14:paraId="758BDBE9" w14:textId="77777777" w:rsidR="00E40099" w:rsidRDefault="001C1DA5">
      <w:pPr>
        <w:pStyle w:val="Verzeichnis3"/>
        <w:rPr>
          <w:rFonts w:asciiTheme="minorHAnsi" w:eastAsiaTheme="minorEastAsia" w:hAnsiTheme="minorHAnsi" w:cstheme="minorBidi"/>
          <w:i w:val="0"/>
          <w:noProof/>
          <w:sz w:val="22"/>
          <w:szCs w:val="22"/>
        </w:rPr>
      </w:pPr>
      <w:hyperlink w:anchor="_Toc43456372" w:history="1">
        <w:r>
          <w:rPr>
            <w:rStyle w:val="Hyperlink"/>
            <w:noProof/>
          </w:rPr>
          <w:t>§ 5 Erörterungstermine, mündliche Verhandlungen und Antragskonferenzen</w:t>
        </w:r>
        <w:r>
          <w:rPr>
            <w:noProof/>
            <w:webHidden/>
          </w:rPr>
          <w:tab/>
        </w:r>
        <w:r>
          <w:rPr>
            <w:noProof/>
            <w:webHidden/>
          </w:rPr>
          <w:fldChar w:fldCharType="begin"/>
        </w:r>
        <w:r>
          <w:rPr>
            <w:noProof/>
            <w:webHidden/>
          </w:rPr>
          <w:instrText xml:space="preserve"> PAGEREF _Toc43456372 \h </w:instrText>
        </w:r>
        <w:r>
          <w:rPr>
            <w:noProof/>
            <w:webHidden/>
          </w:rPr>
        </w:r>
        <w:r>
          <w:rPr>
            <w:noProof/>
            <w:webHidden/>
          </w:rPr>
          <w:fldChar w:fldCharType="separate"/>
        </w:r>
        <w:r>
          <w:rPr>
            <w:noProof/>
            <w:webHidden/>
          </w:rPr>
          <w:t>2</w:t>
        </w:r>
        <w:r>
          <w:rPr>
            <w:noProof/>
            <w:webHidden/>
          </w:rPr>
          <w:fldChar w:fldCharType="end"/>
        </w:r>
      </w:hyperlink>
    </w:p>
    <w:p w14:paraId="11806B04" w14:textId="77777777" w:rsidR="00E40099" w:rsidRDefault="001C1DA5">
      <w:pPr>
        <w:pStyle w:val="Verzeichnis3"/>
        <w:rPr>
          <w:rFonts w:asciiTheme="minorHAnsi" w:eastAsiaTheme="minorEastAsia" w:hAnsiTheme="minorHAnsi" w:cstheme="minorBidi"/>
          <w:i w:val="0"/>
          <w:noProof/>
          <w:sz w:val="22"/>
          <w:szCs w:val="22"/>
        </w:rPr>
      </w:pPr>
      <w:hyperlink w:anchor="_Toc43456373" w:history="1">
        <w:r>
          <w:rPr>
            <w:rStyle w:val="Hyperlink"/>
            <w:noProof/>
          </w:rPr>
          <w:t>§ 6 Übergangsregelung</w:t>
        </w:r>
        <w:r>
          <w:rPr>
            <w:noProof/>
            <w:webHidden/>
          </w:rPr>
          <w:tab/>
        </w:r>
        <w:r>
          <w:rPr>
            <w:noProof/>
            <w:webHidden/>
          </w:rPr>
          <w:fldChar w:fldCharType="begin"/>
        </w:r>
        <w:r>
          <w:rPr>
            <w:noProof/>
            <w:webHidden/>
          </w:rPr>
          <w:instrText xml:space="preserve"> PAGEREF _Toc43456373 \h </w:instrText>
        </w:r>
        <w:r>
          <w:rPr>
            <w:noProof/>
            <w:webHidden/>
          </w:rPr>
        </w:r>
        <w:r>
          <w:rPr>
            <w:noProof/>
            <w:webHidden/>
          </w:rPr>
          <w:fldChar w:fldCharType="separate"/>
        </w:r>
        <w:r>
          <w:rPr>
            <w:noProof/>
            <w:webHidden/>
          </w:rPr>
          <w:t>3</w:t>
        </w:r>
        <w:r>
          <w:rPr>
            <w:noProof/>
            <w:webHidden/>
          </w:rPr>
          <w:fldChar w:fldCharType="end"/>
        </w:r>
      </w:hyperlink>
    </w:p>
    <w:p w14:paraId="06963C1E" w14:textId="77777777" w:rsidR="00E40099" w:rsidRDefault="001C1DA5">
      <w:pPr>
        <w:pStyle w:val="Verzeichnis3"/>
        <w:rPr>
          <w:rFonts w:asciiTheme="minorHAnsi" w:eastAsiaTheme="minorEastAsia" w:hAnsiTheme="minorHAnsi" w:cstheme="minorBidi"/>
          <w:i w:val="0"/>
          <w:noProof/>
          <w:sz w:val="22"/>
          <w:szCs w:val="22"/>
        </w:rPr>
      </w:pPr>
      <w:hyperlink w:anchor="_Toc43456374" w:history="1">
        <w:r>
          <w:rPr>
            <w:rStyle w:val="Hyperlink"/>
            <w:noProof/>
          </w:rPr>
          <w:t>§ 7 Inkrafttreten, Außerkrafttreten</w:t>
        </w:r>
        <w:r>
          <w:rPr>
            <w:noProof/>
            <w:webHidden/>
          </w:rPr>
          <w:tab/>
        </w:r>
        <w:r>
          <w:rPr>
            <w:noProof/>
            <w:webHidden/>
          </w:rPr>
          <w:fldChar w:fldCharType="begin"/>
        </w:r>
        <w:r>
          <w:rPr>
            <w:noProof/>
            <w:webHidden/>
          </w:rPr>
          <w:instrText xml:space="preserve"> PAGEREF _Toc43456374 \h </w:instrText>
        </w:r>
        <w:r>
          <w:rPr>
            <w:noProof/>
            <w:webHidden/>
          </w:rPr>
        </w:r>
        <w:r>
          <w:rPr>
            <w:noProof/>
            <w:webHidden/>
          </w:rPr>
          <w:fldChar w:fldCharType="separate"/>
        </w:r>
        <w:r>
          <w:rPr>
            <w:noProof/>
            <w:webHidden/>
          </w:rPr>
          <w:t>3</w:t>
        </w:r>
        <w:r>
          <w:rPr>
            <w:noProof/>
            <w:webHidden/>
          </w:rPr>
          <w:fldChar w:fldCharType="end"/>
        </w:r>
      </w:hyperlink>
    </w:p>
    <w:p w14:paraId="4C8CFF33" w14:textId="77777777" w:rsidR="00E40099" w:rsidRDefault="001C1DA5">
      <w:pPr>
        <w:pStyle w:val="GesAbsatz"/>
      </w:pPr>
      <w:r>
        <w:fldChar w:fldCharType="end"/>
      </w:r>
    </w:p>
    <w:p w14:paraId="58271920" w14:textId="63749DFA" w:rsidR="00E40099" w:rsidRDefault="001C1DA5">
      <w:pPr>
        <w:pStyle w:val="berschrift3"/>
      </w:pPr>
      <w:bookmarkStart w:id="1" w:name="_Toc43456368"/>
      <w:r>
        <w:t>§ 1</w:t>
      </w:r>
      <w:r w:rsidR="00ED32F9">
        <w:t xml:space="preserve"> bis 5</w:t>
      </w:r>
      <w:r>
        <w:br/>
      </w:r>
      <w:bookmarkEnd w:id="1"/>
      <w:r w:rsidR="00ED32F9">
        <w:t>(weggefallen)</w:t>
      </w:r>
    </w:p>
    <w:p w14:paraId="1B2F783A" w14:textId="77777777" w:rsidR="00E40099" w:rsidRDefault="001C1DA5">
      <w:pPr>
        <w:pStyle w:val="berschrift3"/>
      </w:pPr>
      <w:bookmarkStart w:id="2" w:name="_Toc43456373"/>
      <w:r>
        <w:t>§ 6</w:t>
      </w:r>
      <w:r>
        <w:br/>
        <w:t>Übergangsregelung</w:t>
      </w:r>
      <w:bookmarkEnd w:id="2"/>
    </w:p>
    <w:p w14:paraId="07240910" w14:textId="2FA413F6" w:rsidR="00E40099" w:rsidRDefault="001C1DA5">
      <w:pPr>
        <w:pStyle w:val="GesAbsatz"/>
      </w:pPr>
      <w:r>
        <w:t xml:space="preserve">(1) </w:t>
      </w:r>
      <w:r w:rsidRPr="001C1DA5">
        <w:t>Die Regelungen dieses Gesetzes sind auch auf bereits vor Inkrafttreten dieses Gesetzes begonnene, aber noch nicht abgeschlossene Verfahren anwendbar. Ein Verfahrensschritt, der bereits begonnen wurde, ist jedoch zu wiederholen, wenn er nach diesem Gesetz durchgeführt werden soll. Abweichend von Satz 2 ist ein Verfahrensschritt, der bereits vor dem 16. März 2020 begonnen wurde, nicht zu wiederholen, wenn der Beteiligungsschritt in diesem Verfahrensschritt, der teilweise oder ganz entfallen oder erschwert worden ist, nach diesem Gesetz hätte entfallen können und lediglich der Hinweis auf das Unterbleiben einer einzelnen Beteiligungsmöglichkeit vorab nicht erteilt werden konnte</w:t>
      </w:r>
      <w:r>
        <w:t>.</w:t>
      </w:r>
    </w:p>
    <w:p w14:paraId="0C7C62F0" w14:textId="5D2A86F9" w:rsidR="00E40099" w:rsidRDefault="001C1DA5">
      <w:pPr>
        <w:pStyle w:val="GesAbsatz"/>
      </w:pPr>
      <w:r>
        <w:t xml:space="preserve">(2) Für Verfahrensschritte, bei denen von einer Regelung nach den §§ 2 bis 5 Gebrauch gemacht worden ist und die mit Ablauf des 31. Dezember </w:t>
      </w:r>
      <w:r>
        <w:t xml:space="preserve">2024 </w:t>
      </w:r>
      <w:r>
        <w:t>noch nicht abgeschlossen sind, gelten die Bestimmungen dieses Gesetzes bis zum Abschluss des jeweiligen Verfahrensschrittes weiter.</w:t>
      </w:r>
    </w:p>
    <w:p w14:paraId="1AEC468A" w14:textId="77777777" w:rsidR="00E40099" w:rsidRDefault="001C1DA5">
      <w:pPr>
        <w:pStyle w:val="GesAbsatz"/>
      </w:pPr>
      <w:r>
        <w:t>(3) Die für die in § 1 genannten Verfahren geltenden Fehlerfolgenregelungen sind entsprechend anzuwenden und bleiben im Übrigen unberührt. Fehler bei Bekanntmachungen haben keine Auswirkung auf die Rechtmäßigkeit der Verfahren, wenn der Hinweiszweck der Bekanntmachung erfüllt ist.</w:t>
      </w:r>
    </w:p>
    <w:p w14:paraId="755ADC32" w14:textId="77777777" w:rsidR="00E40099" w:rsidRDefault="001C1DA5">
      <w:pPr>
        <w:pStyle w:val="berschrift3"/>
      </w:pPr>
      <w:bookmarkStart w:id="3" w:name="_Toc43456374"/>
      <w:r>
        <w:t>§ 7</w:t>
      </w:r>
      <w:r>
        <w:br/>
        <w:t>Inkrafttreten, Außerkrafttreten</w:t>
      </w:r>
      <w:bookmarkEnd w:id="3"/>
    </w:p>
    <w:p w14:paraId="39BE4F9E" w14:textId="77777777" w:rsidR="00E40099" w:rsidRDefault="001C1DA5">
      <w:pPr>
        <w:pStyle w:val="GesAbsatz"/>
      </w:pPr>
      <w:r>
        <w:t>(1) Dieses Gesetz tritt am Tag nach der Verkündung in Kraft.</w:t>
      </w:r>
    </w:p>
    <w:p w14:paraId="55013823" w14:textId="4388E6D5" w:rsidR="00E40099" w:rsidRDefault="001C1DA5">
      <w:pPr>
        <w:pStyle w:val="GesAbsatz"/>
      </w:pPr>
      <w:r>
        <w:t xml:space="preserve">(2) Die §§ 1 bis 5 des Planungssicherstellungsgesetzes treten mit Ablauf des 31. Dezember 2024 außer Kraft. Im Übrigen tritt das Gesetz mit Ablauf des 30. September </w:t>
      </w:r>
      <w:r>
        <w:t xml:space="preserve">2029 </w:t>
      </w:r>
      <w:r>
        <w:t>außer Kraft.</w:t>
      </w:r>
    </w:p>
    <w:p w14:paraId="2AD38B74" w14:textId="77777777" w:rsidR="00E40099" w:rsidRDefault="00E40099">
      <w:pPr>
        <w:pStyle w:val="GesAbsatz"/>
      </w:pPr>
    </w:p>
    <w:p w14:paraId="1099BAD5" w14:textId="77777777" w:rsidR="00E40099" w:rsidRDefault="00E40099">
      <w:pPr>
        <w:pStyle w:val="GesAbsatz"/>
      </w:pPr>
    </w:p>
    <w:sectPr w:rsidR="00E40099">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C0AA6" w14:textId="77777777" w:rsidR="00E40099" w:rsidRDefault="001C1DA5">
      <w:r>
        <w:separator/>
      </w:r>
    </w:p>
  </w:endnote>
  <w:endnote w:type="continuationSeparator" w:id="0">
    <w:p w14:paraId="126C9B98" w14:textId="77777777" w:rsidR="00E40099" w:rsidRDefault="001C1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44E3A" w14:textId="77777777" w:rsidR="00E40099" w:rsidRDefault="001C1DA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7C9EC60" w14:textId="77777777" w:rsidR="00E40099" w:rsidRDefault="00E4009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E7216" w14:textId="77777777" w:rsidR="00E40099" w:rsidRDefault="001C1DA5">
    <w:pPr>
      <w:pStyle w:val="Fuzeile"/>
      <w:tabs>
        <w:tab w:val="clear" w:pos="9639"/>
        <w:tab w:val="right" w:pos="9498"/>
      </w:tabs>
      <w:ind w:right="140"/>
    </w:pPr>
    <w:r>
      <w:tab/>
      <w:t>20.05.2020 (BGBl. I S. 1041 / FNA 2129-66)</w:t>
    </w:r>
    <w:r>
      <w:tab/>
      <w:t xml:space="preserve">Seite </w:t>
    </w:r>
    <w:r>
      <w:fldChar w:fldCharType="begin"/>
    </w:r>
    <w:r>
      <w:instrText xml:space="preserve"> PAGE  \* MERGEFORMAT </w:instrText>
    </w:r>
    <w:r>
      <w:fldChar w:fldCharType="separate"/>
    </w:r>
    <w:r>
      <w:rPr>
        <w:noProof/>
      </w:rPr>
      <w:t>1</w:t>
    </w:r>
    <w:r>
      <w:fldChar w:fldCharType="end"/>
    </w:r>
  </w:p>
  <w:p w14:paraId="197B972D" w14:textId="3A46FF11" w:rsidR="00E40099" w:rsidRDefault="001C1DA5">
    <w:pPr>
      <w:pStyle w:val="Fuzeile"/>
      <w:tabs>
        <w:tab w:val="clear" w:pos="9639"/>
        <w:tab w:val="right" w:pos="9498"/>
      </w:tabs>
      <w:ind w:right="140"/>
    </w:pPr>
    <w:r>
      <w:tab/>
      <w:t xml:space="preserve">Stand </w:t>
    </w:r>
    <w:r>
      <w:t>04.12.2023</w:t>
    </w:r>
    <w:r>
      <w:t xml:space="preserve"> (BGBl. I 2023 Nr. </w:t>
    </w:r>
    <w:r>
      <w:t>344</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BD72A" w14:textId="77777777" w:rsidR="00E40099" w:rsidRDefault="001C1DA5">
      <w:r>
        <w:separator/>
      </w:r>
    </w:p>
  </w:footnote>
  <w:footnote w:type="continuationSeparator" w:id="0">
    <w:p w14:paraId="5FB223BF" w14:textId="77777777" w:rsidR="00E40099" w:rsidRDefault="001C1DA5">
      <w:r>
        <w:continuationSeparator/>
      </w:r>
    </w:p>
  </w:footnote>
  <w:footnote w:id="1">
    <w:p w14:paraId="29BB26A2" w14:textId="77777777" w:rsidR="00E40099" w:rsidRDefault="001C1DA5">
      <w:pPr>
        <w:pStyle w:val="Funotentext"/>
      </w:pPr>
      <w:r>
        <w:rPr>
          <w:rStyle w:val="Funotenzeichen"/>
        </w:rPr>
        <w:footnoteRef/>
      </w:r>
      <w:r>
        <w:t xml:space="preserve"> Dieses Gesetz dient der Umsetzung der Richtlinie 2011/92/EU des Europäischen Parlaments und des Rates vom 13. Dezember 2011 über die Umweltverträglichkeitsprüfung bei bestimmten öffentlichen und privaten Projekten (ABl. L 26 vom 28.1.2012, S. 1), die durch die Richtlinie 2014/52/EU (ABl. L 124 vom 25.4.2014, S. 1) geändert worden ist, Richtlinie 2010/75/EU des Europäischen Parlaments und des Rates vom 24. November 2010 über Industrieemissionen (integrierte Vermeidung und Verminderung der Umweltverschmutzun</w:t>
      </w:r>
      <w:r>
        <w:t>g), (ABl. L 334 vom 17.12.2010, S. 17), Richtlinie 2001/42/EG des Europäischen Parlaments und des Rates vom 27. Juni 2001 über die Prüfung der Umweltauswirkungen bestimmter Pläne und Programme (ABl. L 197 vom 21.7.2001, S. 30), Richtlinie 2012/18/EU des Europäischen Parlaments und des Rates vom 4. Juli 2012 zur Beherrschung der Gefahren schwerer Unfälle mit gefährlichen Stoffen, zur Änderung und anschließenden Aufhebung der Richtlinie 96/82/EG des Rates (ABl. L 197 vom 24.7. 2012, S.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E37B3" w14:textId="77777777" w:rsidR="00E40099" w:rsidRDefault="001C1DA5">
    <w:pPr>
      <w:pStyle w:val="Kopfzeile0"/>
    </w:pPr>
    <w:r>
      <w:t>60.1-170</w:t>
    </w:r>
  </w:p>
  <w:p w14:paraId="160B8DCB" w14:textId="77777777" w:rsidR="00E40099" w:rsidRDefault="001C1DA5">
    <w:pPr>
      <w:pStyle w:val="Kopfzeile"/>
    </w:pPr>
    <w:r>
      <w:t>PlanSiG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838880453">
    <w:abstractNumId w:val="4"/>
  </w:num>
  <w:num w:numId="2" w16cid:durableId="1229927012">
    <w:abstractNumId w:val="3"/>
  </w:num>
  <w:num w:numId="3" w16cid:durableId="1107769608">
    <w:abstractNumId w:val="2"/>
  </w:num>
  <w:num w:numId="4" w16cid:durableId="404184416">
    <w:abstractNumId w:val="1"/>
  </w:num>
  <w:num w:numId="5" w16cid:durableId="1639455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099"/>
    <w:rsid w:val="001C1DA5"/>
    <w:rsid w:val="001E3826"/>
    <w:rsid w:val="00E40099"/>
    <w:rsid w:val="00ED32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15BB32F"/>
  <w15:docId w15:val="{294915E7-BBDF-41E9-A6E7-1D0E2D414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347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gesetz-zur-sicherstellung-ordnungsgem%C3%A4%C3%9Fer-planungs-und-genehmigungsverfahren-w%C3%A4hrend-der-covid-19-pandemie/26188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73C47-A2C6-400D-A42C-CF5965D0B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294</Words>
  <Characters>2500</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Planungssicherstellungsgesetz - PlanSiG </vt:lpstr>
    </vt:vector>
  </TitlesOfParts>
  <Company>LANUK NRW</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Planungssicherstellungsgesetz - PlanSiG </dc:title>
  <dc:creator>LANUK NRW</dc:creator>
  <cp:lastModifiedBy>VTU1</cp:lastModifiedBy>
  <cp:revision>11</cp:revision>
  <cp:lastPrinted>2004-12-14T12:08:00Z</cp:lastPrinted>
  <dcterms:created xsi:type="dcterms:W3CDTF">2021-03-25T09:11:00Z</dcterms:created>
  <dcterms:modified xsi:type="dcterms:W3CDTF">2026-05-19T12:50:00Z</dcterms:modified>
</cp:coreProperties>
</file>